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/>
    </w:p>
    <w:p>
      <w:pPr>
        <w:pStyle w:val="667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извещению о проведении открытого конкурса</w:t>
      </w:r>
      <w:r/>
    </w:p>
    <w:p>
      <w:pPr>
        <w:pStyle w:val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/>
    </w:p>
    <w:p>
      <w:pPr>
        <w:pStyle w:val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</w:t>
      </w:r>
      <w:r/>
    </w:p>
    <w:p>
      <w:pPr>
        <w:pStyle w:val="667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Hlk166597937"/>
      <w:r>
        <w:rPr>
          <w:rFonts w:ascii="Times New Roman" w:hAnsi="Times New Roman" w:cs="Times New Roman"/>
          <w:sz w:val="28"/>
          <w:szCs w:val="28"/>
        </w:rPr>
        <w:t xml:space="preserve">на нестационарные торговые объекты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/>
    </w:p>
    <w:p>
      <w:pPr>
        <w:ind w:firstLine="706"/>
        <w:jc w:val="both"/>
        <w:spacing w:after="0" w:line="302" w:lineRule="atLeast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торговая тележка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мороженое, снеки, прохладительные напитки»</w:t>
      </w:r>
      <w:bookmarkEnd w:id="0"/>
      <w:r/>
    </w:p>
    <w:p>
      <w:pPr>
        <w:pStyle w:val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65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948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оказатель</w:t>
            </w:r>
            <w:r/>
          </w:p>
        </w:tc>
        <w:tc>
          <w:tcPr>
            <w:tcW w:w="59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(значение) показателя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концепции</w:t>
            </w:r>
            <w:r/>
          </w:p>
        </w:tc>
        <w:tc>
          <w:tcPr>
            <w:tcW w:w="5948" w:type="dxa"/>
            <w:textDirection w:val="lrTb"/>
            <w:noWrap w:val="false"/>
          </w:tcPr>
          <w:p>
            <w:pPr>
              <w:jc w:val="both"/>
              <w:spacing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заключается в разработке художественных решений нестационарных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торговая тележка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мороженое, снеки, прохладительные напитки»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федеральной территории «Сириус»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лементов внешнего благоустройства прилегающего земельного участка с учетом: типов нестационарных объектов, доступности нестационарных объектов, в том числе для маломобильных групп населения.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</w:t>
            </w:r>
            <w:r/>
          </w:p>
        </w:tc>
        <w:tc>
          <w:tcPr>
            <w:tcW w:w="5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остановление главы администрации федеральной территории «Сириус» от 16 августа 2022 года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№ 53-п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 размещении нестационарных торговых объектов, нестационарных объектов по оказанию услуг, расположенных в федеральной территории «Сириус»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на земельных участках, в зданиях, строениях и сооружениях, находящихся в государственной собственности, муниципальной собственности, и земельных участках, государственная собственность на которые не разграничена»,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постановление главы федеральной территории «Сириус»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 декабря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2023 года № 146-п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«Об утверждении схемы размещения нестационарных торговых объектов, нестационарных объектов по оказанию услуг в федеральной территории «Сириус»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557"/>
        </w:trPr>
        <w:tc>
          <w:tcPr>
            <w:tcW w:w="8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внешнему виду НТО</w:t>
            </w:r>
            <w:r/>
          </w:p>
        </w:tc>
        <w:tc>
          <w:tcPr>
            <w:tcW w:w="5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эскиза (дизайн-проекта)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нестационарных объектов предусмотреть: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Заводское изготовление;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Материалы изготовления торговой тележки должны иметь следующие характеристики: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каркас;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тента — водостойкий полиэстер;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олористическое решение: цветовая гамма — однотонная (допускается размещение логотипа).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Габариты: рекомендуемая длина тележки — не более 2,0 м, ширина — 1,0 м, высота — 2,5 м. 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поверхности — 0,9–1,1 м. Вокруг тележки следует предусматривать зону для продавца и покупателей шириной не более 1,0 м с одной стороны торговой тележки. Рекомендуется установить урну — не дальше 1,0 м от тележки. При необходимости в тележке должно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организовано место для хранения расходных материалов (салфеток, трубочек, одноразовой посуды).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торговой тележки необходима точка подключения к электрической сети (не более 3 кВт). 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Требования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конструкции НТО</w:t>
            </w:r>
            <w:r/>
          </w:p>
        </w:tc>
        <w:tc>
          <w:tcPr>
            <w:tcW w:w="5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стойчивость конструкции к внешним климатическим воздействиям и антропогенной нагрузке;</w:t>
            </w:r>
            <w:r/>
          </w:p>
          <w:p>
            <w:pPr>
              <w:pStyle w:val="666"/>
              <w:ind w:left="35"/>
              <w:jc w:val="both"/>
              <w:tabs>
                <w:tab w:val="left" w:pos="31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встроенная крышная конструкция;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решения, обеспечивающие доступность для маломобильных групп населения;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вывески с фирменным наименованием (наименованием) юридического лица (индивидуального предпринимателя), местом их нахождения (юридическим адресом), режимом работы, а также размещение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технического задания</w:t>
            </w:r>
            <w:r/>
          </w:p>
        </w:tc>
        <w:tc>
          <w:tcPr>
            <w:tcW w:w="5948" w:type="dxa"/>
            <w:textDirection w:val="lrTb"/>
            <w:noWrap w:val="false"/>
          </w:tcPr>
          <w:p>
            <w:pPr>
              <w:pStyle w:val="666"/>
              <w:numPr>
                <w:ilvl w:val="0"/>
                <w:numId w:val="1"/>
              </w:numPr>
              <w:ind w:left="-107" w:firstLine="0"/>
              <w:jc w:val="both"/>
              <w:tabs>
                <w:tab w:val="left" w:pos="1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концепции.</w:t>
            </w:r>
            <w:r/>
          </w:p>
          <w:p>
            <w:pPr>
              <w:pStyle w:val="666"/>
              <w:numPr>
                <w:ilvl w:val="0"/>
                <w:numId w:val="1"/>
              </w:numPr>
              <w:ind w:left="-107" w:firstLine="0"/>
              <w:jc w:val="both"/>
              <w:tabs>
                <w:tab w:val="left" w:pos="1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нестационарного объекта: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666"/>
              <w:ind w:left="-107"/>
              <w:jc w:val="both"/>
              <w:tabs>
                <w:tab w:val="left" w:pos="1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внешнего вида объекта, дающее представление об архитектурно-художественном, колористическом решении, объемно-пространственной организации объекта.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выполняются в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формате в дневном и ночном вариантах, встроенные в фотографию существующей градостроительной ситуации.</w:t>
            </w:r>
            <w:r/>
          </w:p>
          <w:p>
            <w:pPr>
              <w:pStyle w:val="666"/>
              <w:numPr>
                <w:ilvl w:val="0"/>
                <w:numId w:val="1"/>
              </w:numPr>
              <w:ind w:left="0" w:firstLine="0"/>
              <w:jc w:val="both"/>
              <w:tabs>
                <w:tab w:val="left" w:pos="31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образ.</w:t>
            </w:r>
            <w:r/>
          </w:p>
          <w:p>
            <w:pPr>
              <w:pStyle w:val="666"/>
              <w:numPr>
                <w:ilvl w:val="0"/>
                <w:numId w:val="1"/>
              </w:numPr>
              <w:ind w:left="35" w:firstLine="0"/>
              <w:jc w:val="both"/>
              <w:tabs>
                <w:tab w:val="left" w:pos="31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ертеж с указанием размеров; схема наружной и внутренней подсветки с указанием типов осветительных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pStyle w:val="666"/>
              <w:ind w:left="35"/>
              <w:jc w:val="both"/>
              <w:tabs>
                <w:tab w:val="left" w:pos="31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материалы формируются в виде планшета формата А4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-файла вертикальной ориентации, выполненного в виде презентации (альбома), а также в виде пояснительной записки формата А4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-файла горизонтальной ориентации.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01492963"/>
      <w:docPartObj>
        <w:docPartGallery w:val="Page Numbers (Top of Page)"/>
        <w:docPartUnique w:val="true"/>
      </w:docPartObj>
      <w:rPr/>
    </w:sdtPr>
    <w:sdtContent>
      <w:p>
        <w:pPr>
          <w:pStyle w:val="6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1"/>
    <w:next w:val="66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1"/>
    <w:next w:val="6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2"/>
    <w:link w:val="668"/>
    <w:uiPriority w:val="99"/>
  </w:style>
  <w:style w:type="character" w:styleId="45">
    <w:name w:val="Footer Char"/>
    <w:basedOn w:val="662"/>
    <w:link w:val="670"/>
    <w:uiPriority w:val="99"/>
  </w:style>
  <w:style w:type="paragraph" w:styleId="46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0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table" w:styleId="665">
    <w:name w:val="Table Grid"/>
    <w:basedOn w:val="66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61"/>
    <w:uiPriority w:val="34"/>
    <w:qFormat/>
    <w:pPr>
      <w:contextualSpacing/>
      <w:ind w:left="720"/>
    </w:pPr>
  </w:style>
  <w:style w:type="paragraph" w:styleId="667">
    <w:name w:val="No Spacing"/>
    <w:uiPriority w:val="1"/>
    <w:qFormat/>
    <w:pPr>
      <w:spacing w:after="0" w:line="240" w:lineRule="auto"/>
    </w:pPr>
  </w:style>
  <w:style w:type="paragraph" w:styleId="668">
    <w:name w:val="Header"/>
    <w:basedOn w:val="661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 w:customStyle="1">
    <w:name w:val="Верхний колонтитул Знак"/>
    <w:basedOn w:val="662"/>
    <w:link w:val="668"/>
    <w:uiPriority w:val="99"/>
  </w:style>
  <w:style w:type="paragraph" w:styleId="670">
    <w:name w:val="Footer"/>
    <w:basedOn w:val="661"/>
    <w:link w:val="6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basedOn w:val="662"/>
    <w:link w:val="6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revision>3</cp:revision>
  <dcterms:created xsi:type="dcterms:W3CDTF">2024-06-17T09:42:00Z</dcterms:created>
  <dcterms:modified xsi:type="dcterms:W3CDTF">2024-06-17T10:51:12Z</dcterms:modified>
</cp:coreProperties>
</file>