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48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назначению и предоставлению дополнительных мер социальной поддержки лицам, награжденным знаками отличия города Сочи «За вклад в развитие города Сочи» I степени, «За безупречную службу городу Сочи» I степени и «Почетный гражданин города Сочи»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назначению и предоставлению дополнительных мер социальной поддержки лицам, награжденным знаками отличия города Сочи «За вклад в развитие города Сочи» I степени, «За безупречную службу городу Сочи» I степени и «Почетный гражданин города Сочи» (далее – муниципальная услуга, ежемесячная денежная выплата),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 обладавшие правом на получение дополнительных мер социальной поддержки и награжденные знаками отличия города Сочи в соответствии с нормативными правовыми актами городского округа город-курорт Сочи по состоянию на 31 декабря 2021 года:</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 вклад в развитие города Сочи» I степени;</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 безупречную службу городу Сочи» I степени;</w:t>
      </w:r>
    </w:p>
    <w:p>
      <w:pPr>
        <w:widowControl w:val="false"/>
        <w:numPr>
          <w:ilvl w:val="0"/>
          <w:numId w:val="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«Почетный гражданин города Сочи».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Arial" w:hAnsi="Arial" w:cs="Arial" w:eastAsia="Arial"/>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Назначение и предоставление дополнительных мер социальной поддержки лицам, награжденным знаками отличия города Сочи «За вклад в развитие города Сочи» I степени, «За безупречную службу городу Сочи» I степени и «Почетный гражданин города Сочи».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ежемесячной денежной выплаты;</w:t>
      </w:r>
    </w:p>
    <w:p>
      <w:pPr>
        <w:widowControl w:val="false"/>
        <w:numPr>
          <w:ilvl w:val="0"/>
          <w:numId w:val="3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ежемесячной денежной выплаты.</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ежемесячной денежной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ежемесячной денежной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по форме согласно приложению к настоящему Административному регламенту;</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 подтверждающий награждение знаком отличия «За вклад в развитие города Сочи» I степени, «За безупречную службу городу Сочи» I степени или «Почетный гражданин города Сочи» (копия);</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справка о виде получаемой пенсии и о сроке, на который она назначена (копия);</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страховой номер индивидуального лицевого счёта (СНИЛС) (копия);</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свидетельство о постановке на налоговый учет физического лица (ИНН) (копия);</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трудовая книжка (копия);</w:t>
      </w:r>
    </w:p>
    <w:p>
      <w:pPr>
        <w:widowControl w:val="false"/>
        <w:numPr>
          <w:ilvl w:val="0"/>
          <w:numId w:val="52"/>
        </w:numPr>
        <w:tabs>
          <w:tab w:val="left" w:pos="1134" w:leader="none"/>
        </w:tabs>
        <w:spacing w:before="0" w:after="0" w:line="240"/>
        <w:ind w:right="0" w:left="107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документ, подтверждающий принадлежность к одной из следующих категорий граждан: неработающий пенсионер, инвалид, ветераны, установленные статьей 1 Федерального закона № 5-ФЗ (копия).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Calibri" w:hAnsi="Calibri" w:cs="Calibri" w:eastAsia="Calibri"/>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Calibri" w:hAnsi="Calibri" w:cs="Calibri" w:eastAsia="Calibri"/>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Calibri" w:hAnsi="Calibri" w:cs="Calibri" w:eastAsia="Calibri"/>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Calibri" w:hAnsi="Calibri" w:cs="Calibri" w:eastAsia="Calibri"/>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Calibri" w:hAnsi="Calibri" w:cs="Calibri" w:eastAsia="Calibri"/>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Calibri" w:hAnsi="Calibri" w:cs="Calibri" w:eastAsia="Calibri"/>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Calibri" w:hAnsi="Calibri" w:cs="Calibri" w:eastAsia="Calibri"/>
          <w:color w:val="auto"/>
          <w:spacing w:val="0"/>
          <w:position w:val="0"/>
          <w:sz w:val="28"/>
          <w:shd w:fill="auto" w:val="clear"/>
        </w:rPr>
        <w:t xml:space="preserve">Основанием для отказа в предоставлении ежемесячной денежной выплаты является:</w:t>
      </w:r>
    </w:p>
    <w:p>
      <w:pPr>
        <w:widowControl w:val="false"/>
        <w:numPr>
          <w:ilvl w:val="0"/>
          <w:numId w:val="6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непредставление (представление не в полном объеме) документов, указанных в подразделе 2.6 Административного регламента;</w:t>
      </w:r>
    </w:p>
    <w:p>
      <w:pPr>
        <w:widowControl w:val="false"/>
        <w:numPr>
          <w:ilvl w:val="0"/>
          <w:numId w:val="6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у заявителя права на ежемесячную денежную выплату;</w:t>
      </w:r>
    </w:p>
    <w:p>
      <w:pPr>
        <w:widowControl w:val="false"/>
        <w:numPr>
          <w:ilvl w:val="0"/>
          <w:numId w:val="6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заявителем ежемесячной денежной выплаты.</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Calibri" w:hAnsi="Calibri" w:cs="Calibri" w:eastAsia="Calibri"/>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Calibri" w:hAnsi="Calibri" w:cs="Calibri" w:eastAsia="Calibri"/>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Calibri" w:hAnsi="Calibri" w:cs="Calibri" w:eastAsia="Calibri"/>
          <w:color w:val="auto"/>
          <w:spacing w:val="0"/>
          <w:position w:val="0"/>
          <w:sz w:val="28"/>
          <w:shd w:fill="auto" w:val="clear"/>
        </w:rPr>
        <w:t xml:space="preserve">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Calibri" w:hAnsi="Calibri" w:cs="Calibri" w:eastAsia="Calibri"/>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Calibri" w:hAnsi="Calibri" w:cs="Calibri" w:eastAsia="Calibri"/>
          <w:color w:val="auto"/>
          <w:spacing w:val="0"/>
          <w:position w:val="0"/>
          <w:sz w:val="28"/>
          <w:shd w:fill="auto" w:val="clear"/>
        </w:rPr>
        <w:t xml:space="preserve">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Calibri" w:hAnsi="Calibri" w:cs="Calibri" w:eastAsia="Calibri"/>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Calibri" w:hAnsi="Calibri" w:cs="Calibri" w:eastAsia="Calibri"/>
          <w:color w:val="auto"/>
          <w:spacing w:val="0"/>
          <w:position w:val="0"/>
          <w:sz w:val="28"/>
          <w:shd w:fill="auto" w:val="clear"/>
        </w:rPr>
        <w:t xml:space="preserve">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Calibri" w:hAnsi="Calibri" w:cs="Calibri" w:eastAsia="Calibri"/>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Calibri" w:hAnsi="Calibri" w:cs="Calibri" w:eastAsia="Calibri"/>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Calibri" w:hAnsi="Calibri" w:cs="Calibri" w:eastAsia="Calibri"/>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Calibri" w:hAnsi="Calibri" w:cs="Calibri" w:eastAsia="Calibri"/>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Calibri" w:hAnsi="Calibri" w:cs="Calibri" w:eastAsia="Calibri"/>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Calibri" w:hAnsi="Calibri" w:cs="Calibri" w:eastAsia="Calibri"/>
          <w:color w:val="auto"/>
          <w:spacing w:val="0"/>
          <w:position w:val="0"/>
          <w:sz w:val="28"/>
          <w:shd w:fill="auto" w:val="clear"/>
        </w:rPr>
        <w:t xml:space="preserve">Для инвалидов должны обеспечиваться:</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сурдопереводчика и тифлосурдопереводчика;</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Calibri" w:hAnsi="Calibri" w:cs="Calibri" w:eastAsia="Calibri"/>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Calibri" w:hAnsi="Calibri" w:cs="Calibri" w:eastAsia="Calibri"/>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телефонную связь;</w:t>
      </w:r>
    </w:p>
    <w:p>
      <w:pPr>
        <w:widowControl w:val="false"/>
        <w:numPr>
          <w:ilvl w:val="0"/>
          <w:numId w:val="8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копирования документов;</w:t>
      </w:r>
    </w:p>
    <w:p>
      <w:pPr>
        <w:widowControl w:val="false"/>
        <w:numPr>
          <w:ilvl w:val="0"/>
          <w:numId w:val="8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Calibri" w:hAnsi="Calibri" w:cs="Calibri" w:eastAsia="Calibri"/>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Calibri" w:hAnsi="Calibri" w:cs="Calibri" w:eastAsia="Calibri"/>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Calibri" w:hAnsi="Calibri" w:cs="Calibri" w:eastAsia="Calibri"/>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Calibri" w:hAnsi="Calibri" w:cs="Calibri" w:eastAsia="Calibri"/>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Calibri" w:hAnsi="Calibri" w:cs="Calibri" w:eastAsia="Calibri"/>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Calibri" w:hAnsi="Calibri" w:cs="Calibri" w:eastAsia="Calibri"/>
          <w:color w:val="auto"/>
          <w:spacing w:val="0"/>
          <w:position w:val="0"/>
          <w:sz w:val="28"/>
          <w:shd w:fill="auto" w:val="clear"/>
        </w:rPr>
        <w:t xml:space="preserve">Показатели доступности и качества </w:t>
        <w:br/>
        <w:t xml:space="preserve">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Calibri" w:hAnsi="Calibri" w:cs="Calibri" w:eastAsia="Calibri"/>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Calibri" w:hAnsi="Calibri" w:cs="Calibri" w:eastAsia="Calibri"/>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на предоставление услуги;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услуги;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Calibri" w:hAnsi="Calibri" w:cs="Calibri" w:eastAsia="Calibri"/>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Calibri" w:hAnsi="Calibri" w:cs="Calibri" w:eastAsia="Calibri"/>
          <w:color w:val="auto"/>
          <w:spacing w:val="0"/>
          <w:position w:val="0"/>
          <w:sz w:val="28"/>
          <w:shd w:fill="auto" w:val="clear"/>
        </w:rPr>
        <w:t xml:space="preserve">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Calibri" w:hAnsi="Calibri" w:cs="Calibri" w:eastAsia="Calibri"/>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Администрацию;</w:t>
      </w:r>
    </w:p>
    <w:p>
      <w:pPr>
        <w:widowControl w:val="false"/>
        <w:numPr>
          <w:ilvl w:val="0"/>
          <w:numId w:val="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МФЦ;</w:t>
      </w:r>
    </w:p>
    <w:p>
      <w:pPr>
        <w:widowControl w:val="false"/>
        <w:numPr>
          <w:ilvl w:val="0"/>
          <w:numId w:val="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Calibri" w:hAnsi="Calibri" w:cs="Calibri" w:eastAsia="Calibri"/>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10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10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Calibri" w:hAnsi="Calibri" w:cs="Calibri" w:eastAsia="Calibri"/>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Calibri" w:hAnsi="Calibri" w:cs="Calibri" w:eastAsia="Calibri"/>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организация выплаты ежемесячной денежной выплаты.</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Calibri" w:hAnsi="Calibri" w:cs="Calibri" w:eastAsia="Calibri"/>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1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1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1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1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сведений о ходе выполнения запроса;</w:t>
      </w:r>
    </w:p>
    <w:p>
      <w:pPr>
        <w:widowControl w:val="false"/>
        <w:numPr>
          <w:ilvl w:val="0"/>
          <w:numId w:val="11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1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осуществление оценки качества предоставления услуги;</w:t>
      </w:r>
    </w:p>
    <w:p>
      <w:pPr>
        <w:widowControl w:val="false"/>
        <w:numPr>
          <w:ilvl w:val="0"/>
          <w:numId w:val="11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Calibri" w:hAnsi="Calibri" w:cs="Calibri" w:eastAsia="Calibri"/>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выполнения административных процедур, указанных в пункте 3.2.1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и 3.2.2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ежемесячной денежной выплаты;</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распечатывает распоряжение о назначении ежемесячной денежной выплаты или решение об отказе в ее назначении;</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распоряжение о назначении ежемесячной денежной выплаты или решение об отказе в ее назначении;</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подписывает сформированное распоряжение о назначении ежемесячной денежной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уведомление о назначении либо об отказе в назначении ежемесячной денежной выплаты с указанием причин отказа;</w:t>
      </w:r>
    </w:p>
    <w:p>
      <w:pPr>
        <w:widowControl w:val="false"/>
        <w:numPr>
          <w:ilvl w:val="0"/>
          <w:numId w:val="11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ежемесячной денежной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в течение 3 рабочих дней принимает решение о назначении ежемесячной денежной выплаты либо об отказе в назначении ежемесячной денежной выплаты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ежемесячной денежной выплаты, проверяют правильность назначения либо отказа в назначении ежемесячной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ежемесячной денежной выплаты в течение 5 рабочих дней и возвращают личное дело должностному лицу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Calibri" w:hAnsi="Calibri" w:cs="Calibri" w:eastAsia="Calibri"/>
          <w:color w:val="auto"/>
          <w:spacing w:val="0"/>
          <w:position w:val="0"/>
          <w:sz w:val="28"/>
          <w:shd w:fill="auto" w:val="clear"/>
        </w:rPr>
        <w:t xml:space="preserve">Организация выплаты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ежемесячной денежной выплаты осуществляется Администрацией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Calibri" w:hAnsi="Calibri" w:cs="Calibri" w:eastAsia="Calibri"/>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2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2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2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2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2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2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2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Calibri" w:hAnsi="Calibri" w:cs="Calibri" w:eastAsia="Calibri"/>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Calibri" w:hAnsi="Calibri" w:cs="Calibri" w:eastAsia="Calibri"/>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Calibri" w:hAnsi="Calibri" w:cs="Calibri" w:eastAsia="Calibri"/>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Calibri" w:hAnsi="Calibri" w:cs="Calibri" w:eastAsia="Calibri"/>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Calibri" w:hAnsi="Calibri" w:cs="Calibri" w:eastAsia="Calibri"/>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Calibri" w:hAnsi="Calibri" w:cs="Calibri" w:eastAsia="Calibri"/>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Calibri" w:hAnsi="Calibri" w:cs="Calibri" w:eastAsia="Calibri"/>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Calibri" w:hAnsi="Calibri" w:cs="Calibri" w:eastAsia="Calibri"/>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Calibri" w:hAnsi="Calibri" w:cs="Calibri" w:eastAsia="Calibri"/>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Calibri" w:hAnsi="Calibri" w:cs="Calibri" w:eastAsia="Calibri"/>
          <w:color w:val="auto"/>
          <w:spacing w:val="0"/>
          <w:position w:val="0"/>
          <w:sz w:val="28"/>
          <w:shd w:fill="auto" w:val="clear"/>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Calibri" w:hAnsi="Calibri" w:cs="Calibri" w:eastAsia="Calibri"/>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Calibri" w:hAnsi="Calibri" w:cs="Calibri" w:eastAsia="Calibri"/>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Calibri" w:hAnsi="Calibri" w:cs="Calibri" w:eastAsia="Calibri"/>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Calibri" w:hAnsi="Calibri" w:cs="Calibri" w:eastAsia="Calibri"/>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Calibri" w:hAnsi="Calibri" w:cs="Calibri" w:eastAsia="Calibri"/>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Calibri" w:hAnsi="Calibri" w:cs="Calibri" w:eastAsia="Calibri"/>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Calibri" w:hAnsi="Calibri" w:cs="Calibri" w:eastAsia="Calibri"/>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5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регистрации заявления;</w:t>
      </w:r>
    </w:p>
    <w:p>
      <w:pPr>
        <w:widowControl w:val="false"/>
        <w:numPr>
          <w:ilvl w:val="0"/>
          <w:numId w:val="15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5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Calibri" w:hAnsi="Calibri" w:cs="Calibri" w:eastAsia="Calibri"/>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Calibri" w:hAnsi="Calibri" w:cs="Calibri" w:eastAsia="Calibri"/>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Calibri" w:hAnsi="Calibri" w:cs="Calibri" w:eastAsia="Calibri"/>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Calibri" w:hAnsi="Calibri" w:cs="Calibri" w:eastAsia="Calibri"/>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Calibri" w:hAnsi="Calibri" w:cs="Calibri" w:eastAsia="Calibri"/>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Calibri" w:hAnsi="Calibri" w:cs="Calibri" w:eastAsia="Calibri"/>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Calibri" w:hAnsi="Calibri" w:cs="Calibri" w:eastAsia="Calibri"/>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Calibri" w:hAnsi="Calibri" w:cs="Calibri" w:eastAsia="Calibri"/>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Calibri" w:hAnsi="Calibri" w:cs="Calibri" w:eastAsia="Calibri"/>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5.5.1.</w:t>
        <w:tab/>
      </w:r>
      <w:r>
        <w:rPr>
          <w:rFonts w:ascii="Calibri" w:hAnsi="Calibri" w:cs="Calibri" w:eastAsia="Calibri"/>
          <w:color w:val="auto"/>
          <w:spacing w:val="0"/>
          <w:position w:val="0"/>
          <w:sz w:val="28"/>
          <w:shd w:fill="auto" w:val="clear"/>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Calibri" w:hAnsi="Calibri" w:cs="Calibri" w:eastAsia="Calibri"/>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Calibri" w:hAnsi="Calibri" w:cs="Calibri" w:eastAsia="Calibri"/>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num w:numId="12">
    <w:abstractNumId w:val="139"/>
  </w:num>
  <w:num w:numId="18">
    <w:abstractNumId w:val="133"/>
  </w:num>
  <w:num w:numId="20">
    <w:abstractNumId w:val="127"/>
  </w:num>
  <w:num w:numId="22">
    <w:abstractNumId w:val="121"/>
  </w:num>
  <w:num w:numId="38">
    <w:abstractNumId w:val="115"/>
  </w:num>
  <w:num w:numId="52">
    <w:abstractNumId w:val="109"/>
  </w:num>
  <w:num w:numId="56">
    <w:abstractNumId w:val="103"/>
  </w:num>
  <w:num w:numId="65">
    <w:abstractNumId w:val="97"/>
  </w:num>
  <w:num w:numId="82">
    <w:abstractNumId w:val="91"/>
  </w:num>
  <w:num w:numId="84">
    <w:abstractNumId w:val="85"/>
  </w:num>
  <w:num w:numId="91">
    <w:abstractNumId w:val="79"/>
  </w:num>
  <w:num w:numId="93">
    <w:abstractNumId w:val="73"/>
  </w:num>
  <w:num w:numId="99">
    <w:abstractNumId w:val="67"/>
  </w:num>
  <w:num w:numId="101">
    <w:abstractNumId w:val="61"/>
  </w:num>
  <w:num w:numId="108">
    <w:abstractNumId w:val="55"/>
  </w:num>
  <w:num w:numId="110">
    <w:abstractNumId w:val="49"/>
  </w:num>
  <w:num w:numId="115">
    <w:abstractNumId w:val="43"/>
  </w:num>
  <w:num w:numId="117">
    <w:abstractNumId w:val="37"/>
  </w:num>
  <w:num w:numId="126">
    <w:abstractNumId w:val="31"/>
  </w:num>
  <w:num w:numId="128">
    <w:abstractNumId w:val="25"/>
  </w:num>
  <w:num w:numId="158">
    <w:abstractNumId w:val="19"/>
  </w:num>
  <w:num w:numId="181">
    <w:abstractNumId w:val="13"/>
  </w:num>
  <w:num w:numId="191">
    <w:abstractNumId w:val="7"/>
  </w:num>
  <w:num w:numId="195">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