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643"/>
      </w:tblGrid>
      <w:tr>
        <w:trPr/>
        <w:tc>
          <w:tcPr>
            <w:shd w:val="clear" w:color="auto" w:fill="auto"/>
            <w:tcW w:w="5211" w:type="dxa"/>
            <w:textDirection w:val="lrTb"/>
            <w:noWrap w:val="false"/>
          </w:tcPr>
          <w:p>
            <w:pPr>
              <w:contextualSpacing/>
              <w:spacing w:after="1" w:line="276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/>
          </w:p>
        </w:tc>
        <w:tc>
          <w:tcPr>
            <w:shd w:val="clear" w:color="auto" w:fill="auto"/>
            <w:tcW w:w="4643" w:type="dxa"/>
            <w:textDirection w:val="lrTb"/>
            <w:noWrap w:val="false"/>
          </w:tcPr>
          <w:p>
            <w:pPr>
              <w:jc w:val="left"/>
              <w:spacing w:line="276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Приложение 1</w:t>
            </w:r>
            <w:r/>
          </w:p>
          <w:p>
            <w:pPr>
              <w:jc w:val="left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Порядку размещения </w:t>
            </w:r>
            <w:r/>
          </w:p>
          <w:p>
            <w:pPr>
              <w:jc w:val="left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рекламных конструкций</w:t>
            </w:r>
            <w:r/>
          </w:p>
          <w:p>
            <w:pPr>
              <w:jc w:val="left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федеральной территории «Сириус»</w:t>
            </w:r>
            <w:r/>
          </w:p>
          <w:p>
            <w:pPr>
              <w:contextualSpacing/>
              <w:spacing w:after="1" w:line="276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/>
          </w:p>
        </w:tc>
      </w:tr>
    </w:tbl>
    <w:p>
      <w:pPr>
        <w:contextualSpacing/>
        <w:spacing w:after="1" w:line="276" w:lineRule="auto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ПОРЯДОК </w:t>
      </w:r>
      <w:r/>
    </w:p>
    <w:p>
      <w:pPr>
        <w:contextualSpacing/>
        <w:spacing w:after="1"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shd w:val="clear" w:color="auto" w:fill="ffffff"/>
        </w:rPr>
        <w:t xml:space="preserve">расчета размера начальной (минимальной) цены договора</w:t>
      </w:r>
      <w:r/>
    </w:p>
    <w:p>
      <w:pPr>
        <w:contextualSpacing/>
        <w:spacing w:after="1"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shd w:val="clear" w:color="auto" w:fill="ffffff"/>
        </w:rPr>
        <w:t xml:space="preserve">на установку </w:t>
      </w:r>
      <w:r>
        <w:rPr>
          <w:rFonts w:ascii="Times New Roman" w:hAnsi="Times New Roman"/>
          <w:sz w:val="28"/>
          <w:szCs w:val="28"/>
          <w:highlight w:val="white"/>
        </w:rPr>
        <w:t xml:space="preserve">и эксплуатацию рекламной конструкции на земельном участке, </w:t>
      </w:r>
      <w:r>
        <w:rPr>
          <w:rFonts w:ascii="Times New Roman" w:hAnsi="Times New Roman"/>
          <w:sz w:val="28"/>
          <w:szCs w:val="28"/>
          <w:highlight w:val="white"/>
          <w:shd w:val="clear" w:color="ffffff" w:fill="ffffff"/>
          <w:lang w:eastAsia="ru-RU"/>
        </w:rPr>
        <w:t xml:space="preserve">находящемся в государственной собственности, полномочия собственника в отношении которого переданы федеральной территории «Сириус»,</w:t>
      </w:r>
      <w:r/>
    </w:p>
    <w:p>
      <w:pPr>
        <w:contextualSpacing/>
        <w:spacing w:after="1"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shd w:val="clear" w:color="ffffff" w:fill="ffffff"/>
          <w:lang w:eastAsia="ru-RU"/>
        </w:rPr>
        <w:t xml:space="preserve">в муниципальной собственности федеральной территории «Сириус</w:t>
      </w:r>
      <w:r>
        <w:rPr>
          <w:rFonts w:ascii="Times New Roman" w:hAnsi="Times New Roman"/>
          <w:color w:val="000000"/>
          <w:sz w:val="28"/>
          <w:szCs w:val="28"/>
          <w:highlight w:val="white"/>
          <w:shd w:val="clear" w:color="ffffff" w:fill="ffffff"/>
        </w:rPr>
        <w:t xml:space="preserve">»</w:t>
      </w:r>
      <w:r/>
    </w:p>
    <w:p>
      <w:pPr>
        <w:contextualSpacing/>
        <w:spacing w:after="1"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shd w:val="clear" w:color="ffffff" w:fill="ffffff"/>
        </w:rPr>
        <w:t xml:space="preserve">или государственная собственность на который не разграничена,</w:t>
      </w:r>
      <w:r/>
    </w:p>
    <w:p>
      <w:pPr>
        <w:contextualSpacing/>
        <w:spacing w:after="1"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shd w:val="clear" w:color="ffffff" w:fill="ffffff"/>
        </w:rPr>
        <w:t xml:space="preserve">а также на здании или ином недвижимом имуществе, находящихся</w:t>
      </w:r>
      <w:r/>
    </w:p>
    <w:p>
      <w:pPr>
        <w:contextualSpacing/>
        <w:spacing w:after="1"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shd w:val="clear" w:color="ffffff" w:fill="ffffff"/>
        </w:rPr>
        <w:t xml:space="preserve">в государственной собственности </w:t>
      </w:r>
      <w:r>
        <w:rPr>
          <w:rFonts w:ascii="Times New Roman" w:hAnsi="Times New Roman"/>
          <w:sz w:val="28"/>
          <w:szCs w:val="28"/>
          <w:highlight w:val="white"/>
          <w:shd w:val="clear" w:color="ffffff" w:fill="ffffff"/>
          <w:lang w:eastAsia="ru-RU"/>
        </w:rPr>
        <w:t xml:space="preserve">полномочия собственника в отношении которого переданы федеральной территории «Сириус»,</w:t>
      </w:r>
      <w:r/>
    </w:p>
    <w:p>
      <w:pPr>
        <w:contextualSpacing/>
        <w:spacing w:after="1" w:line="276" w:lineRule="auto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shd w:val="clear" w:color="ffffff" w:fill="ffffff"/>
          <w:lang w:eastAsia="ru-RU"/>
        </w:rPr>
        <w:t xml:space="preserve">в муниципальной собственности федеральной территории «Сириус</w:t>
      </w:r>
      <w:r>
        <w:rPr>
          <w:rFonts w:ascii="Times New Roman" w:hAnsi="Times New Roman"/>
          <w:color w:val="000000"/>
          <w:sz w:val="28"/>
          <w:szCs w:val="28"/>
          <w:highlight w:val="white"/>
          <w:shd w:val="clear" w:color="ffffff" w:fill="ffffff"/>
        </w:rPr>
        <w:t xml:space="preserve">»,</w:t>
      </w:r>
      <w:r/>
    </w:p>
    <w:p>
      <w:pPr>
        <w:contextualSpacing/>
        <w:spacing w:after="1" w:line="276" w:lineRule="auto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</w:r>
      <w:r/>
    </w:p>
    <w:p>
      <w:pPr>
        <w:pStyle w:val="720"/>
        <w:ind w:firstLine="708"/>
        <w:jc w:val="both"/>
        <w:spacing w:line="276" w:lineRule="auto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На</w:t>
      </w:r>
      <w:r>
        <w:rPr>
          <w:rFonts w:ascii="Times New Roman" w:hAnsi="Times New Roman"/>
          <w:sz w:val="28"/>
          <w:szCs w:val="28"/>
          <w:highlight w:val="white"/>
        </w:rPr>
        <w:t xml:space="preserve">стоящий порядок устанавливает порядок расчета начальной (минимальной) цены договора и применяется с целью проведения аукциона                 на право заключения договора на установку на установку и эксплуатацию рекламной конструкции на земельном участке, </w:t>
      </w:r>
      <w:r>
        <w:rPr>
          <w:rFonts w:ascii="Times New Roman" w:hAnsi="Times New Roman" w:eastAsia="Times New Roman"/>
          <w:sz w:val="28"/>
          <w:szCs w:val="28"/>
          <w:highlight w:val="white"/>
          <w:shd w:val="clear" w:color="ffffff" w:fill="ffffff"/>
          <w:lang w:eastAsia="ru-RU"/>
        </w:rPr>
        <w:t xml:space="preserve">находящемся в государственной собственности, полномочия собственника в отношении которого переданы федеральной территории «Сириус», в муниципальной собственности федеральной территории «Сириус</w:t>
      </w:r>
      <w:r>
        <w:rPr>
          <w:rFonts w:ascii="Times New Roman" w:hAnsi="Times New Roman"/>
          <w:color w:val="000000"/>
          <w:sz w:val="28"/>
          <w:szCs w:val="28"/>
          <w:highlight w:val="white"/>
          <w:shd w:val="clear" w:color="ffffff" w:fill="ffffff"/>
        </w:rPr>
        <w:t xml:space="preserve">»</w:t>
      </w:r>
      <w:r>
        <w:rPr>
          <w:rFonts w:ascii="Times New Roman" w:hAnsi="Times New Roman" w:eastAsia="Times New Roman"/>
          <w:color w:val="eeece1"/>
          <w:sz w:val="28"/>
          <w:szCs w:val="28"/>
          <w:highlight w:val="white"/>
          <w:shd w:val="clear" w:color="ffffff" w:fill="ffffff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shd w:val="clear" w:color="ffffff" w:fill="ffffff"/>
        </w:rPr>
        <w:t xml:space="preserve">или государственная собственность                   на который не разграничена, а также на здании или ином недвижимом имуществе, находящихся в государственной собственности </w:t>
      </w:r>
      <w:r>
        <w:rPr>
          <w:rFonts w:ascii="Times New Roman" w:hAnsi="Times New Roman" w:eastAsia="Times New Roman"/>
          <w:sz w:val="28"/>
          <w:szCs w:val="28"/>
          <w:highlight w:val="white"/>
          <w:shd w:val="clear" w:color="ffffff" w:fill="ffffff"/>
          <w:lang w:eastAsia="ru-RU"/>
        </w:rPr>
        <w:t xml:space="preserve">полномочия собственника в отношении которого переданы федеральной территории «Сириус», в муниципальной собственности федеральной территории «Сириус</w:t>
      </w:r>
      <w:r>
        <w:rPr>
          <w:rFonts w:ascii="Times New Roman" w:hAnsi="Times New Roman"/>
          <w:color w:val="000000"/>
          <w:sz w:val="28"/>
          <w:szCs w:val="28"/>
          <w:highlight w:val="white"/>
          <w:shd w:val="clear" w:color="ffffff" w:fill="ffffff"/>
        </w:rPr>
        <w:t xml:space="preserve">»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              (далее – договор).</w:t>
      </w:r>
      <w:r/>
    </w:p>
    <w:p>
      <w:pPr>
        <w:pStyle w:val="720"/>
        <w:ind w:firstLine="708"/>
        <w:jc w:val="both"/>
        <w:spacing w:line="276" w:lineRule="auto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Расчет начальной (минимальной) цены договора применяется с целью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участке, </w:t>
      </w:r>
      <w:r>
        <w:rPr>
          <w:rFonts w:ascii="Times New Roman" w:hAnsi="Times New Roman" w:eastAsia="Times New Roman"/>
          <w:sz w:val="28"/>
          <w:szCs w:val="28"/>
          <w:highlight w:val="white"/>
          <w:shd w:val="clear" w:color="ffffff" w:fill="ffffff"/>
          <w:lang w:eastAsia="ru-RU"/>
        </w:rPr>
        <w:t xml:space="preserve">находящемся в государственной собственности, полномочия собственника в отношении которого переданы федеральной территории «Сириус», в муниципальной собственности федеральной территории «Сириус</w:t>
      </w:r>
      <w:r>
        <w:rPr>
          <w:rFonts w:ascii="Times New Roman" w:hAnsi="Times New Roman"/>
          <w:color w:val="000000"/>
          <w:sz w:val="28"/>
          <w:szCs w:val="28"/>
          <w:highlight w:val="white"/>
          <w:shd w:val="clear" w:color="ffffff" w:fill="ffffff"/>
        </w:rPr>
        <w:t xml:space="preserve">»</w:t>
      </w:r>
      <w:r>
        <w:rPr>
          <w:rFonts w:ascii="Times New Roman" w:hAnsi="Times New Roman" w:eastAsia="Times New Roman"/>
          <w:color w:val="eeece1"/>
          <w:sz w:val="28"/>
          <w:szCs w:val="28"/>
          <w:highlight w:val="white"/>
          <w:shd w:val="clear" w:color="ffffff" w:fill="ffffff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shd w:val="clear" w:color="ffffff" w:fill="ffffff"/>
        </w:rPr>
        <w:t xml:space="preserve">или государственная собственность на который не разграничена,                               а также на здании или ином недвижимом имуществе, находящихся в государственной собственности </w:t>
      </w:r>
      <w:r>
        <w:rPr>
          <w:rFonts w:ascii="Times New Roman" w:hAnsi="Times New Roman" w:eastAsia="Times New Roman"/>
          <w:sz w:val="28"/>
          <w:szCs w:val="28"/>
          <w:highlight w:val="white"/>
          <w:shd w:val="clear" w:color="ffffff" w:fill="ffffff"/>
          <w:lang w:eastAsia="ru-RU"/>
        </w:rPr>
        <w:t xml:space="preserve">полномочия собственника в отношении </w:t>
      </w:r>
      <w:r>
        <w:rPr>
          <w:rFonts w:ascii="Times New Roman" w:hAnsi="Times New Roman" w:eastAsia="Times New Roman"/>
          <w:sz w:val="28"/>
          <w:szCs w:val="28"/>
          <w:highlight w:val="white"/>
          <w:shd w:val="clear" w:color="ffffff" w:fill="ffffff"/>
          <w:lang w:eastAsia="ru-RU"/>
        </w:rPr>
        <w:t xml:space="preserve">которого переданы федеральной территории «Сириус», в муниципальной собственности федеральной территории «Сириус</w:t>
      </w:r>
      <w:r>
        <w:rPr>
          <w:rFonts w:ascii="Times New Roman" w:hAnsi="Times New Roman"/>
          <w:color w:val="000000"/>
          <w:sz w:val="28"/>
          <w:szCs w:val="28"/>
          <w:highlight w:val="white"/>
          <w:shd w:val="clear" w:color="ffffff" w:fill="ffffff"/>
        </w:rPr>
        <w:t xml:space="preserve">»,</w:t>
      </w:r>
      <w:r>
        <w:rPr>
          <w:rFonts w:ascii="Times New Roman" w:hAnsi="Times New Roman"/>
          <w:sz w:val="28"/>
          <w:szCs w:val="28"/>
          <w:highlight w:val="white"/>
        </w:rPr>
        <w:t xml:space="preserve"> рассчитывается по формуле: </w:t>
      </w:r>
      <w:r/>
    </w:p>
    <w:p>
      <w:pPr>
        <w:pStyle w:val="720"/>
        <w:ind w:firstLine="708"/>
        <w:jc w:val="both"/>
        <w:spacing w:line="276" w:lineRule="auto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</w:r>
      <w:r/>
    </w:p>
    <w:p>
      <w:pPr>
        <w:pStyle w:val="720"/>
        <w:jc w:val="center"/>
        <w:spacing w:line="276" w:lineRule="auto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РС=А х С, где:</w:t>
      </w:r>
      <w:r/>
    </w:p>
    <w:p>
      <w:pPr>
        <w:pStyle w:val="720"/>
        <w:jc w:val="both"/>
        <w:spacing w:line="276" w:lineRule="auto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</w:r>
      <w:r/>
    </w:p>
    <w:p>
      <w:pPr>
        <w:pStyle w:val="720"/>
        <w:ind w:firstLine="708"/>
        <w:jc w:val="both"/>
        <w:spacing w:line="276" w:lineRule="auto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РС – размер начальной (минимальной) цены договора;</w:t>
      </w:r>
      <w:r/>
    </w:p>
    <w:p>
      <w:pPr>
        <w:pStyle w:val="720"/>
        <w:ind w:firstLine="708"/>
        <w:jc w:val="both"/>
        <w:spacing w:line="276" w:lineRule="auto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А – величина размера ежегодной начальной (минимальной) платы                    по договору на установку и эксплуатацию для каждой рекламной конструкции на земельном участке, </w:t>
      </w:r>
      <w:r>
        <w:rPr>
          <w:rFonts w:ascii="Times New Roman" w:hAnsi="Times New Roman" w:eastAsia="Times New Roman"/>
          <w:sz w:val="28"/>
          <w:szCs w:val="28"/>
          <w:highlight w:val="white"/>
          <w:shd w:val="clear" w:color="ffffff" w:fill="ffffff"/>
          <w:lang w:eastAsia="ru-RU"/>
        </w:rPr>
        <w:t xml:space="preserve">находящемся в государственной собственности, полномочия собственника в отношении которого переданы федеральной территории «Сириус», в муниципальной собственности федеральной территории «Сириус</w:t>
      </w:r>
      <w:r>
        <w:rPr>
          <w:rFonts w:ascii="Times New Roman" w:hAnsi="Times New Roman"/>
          <w:color w:val="000000"/>
          <w:sz w:val="28"/>
          <w:szCs w:val="28"/>
          <w:highlight w:val="white"/>
          <w:shd w:val="clear" w:color="ffffff" w:fill="ffffff"/>
        </w:rPr>
        <w:t xml:space="preserve">»</w:t>
      </w:r>
      <w:r>
        <w:rPr>
          <w:rFonts w:ascii="Times New Roman" w:hAnsi="Times New Roman" w:eastAsia="Times New Roman"/>
          <w:color w:val="eeece1"/>
          <w:sz w:val="28"/>
          <w:szCs w:val="28"/>
          <w:highlight w:val="white"/>
          <w:shd w:val="clear" w:color="ffffff" w:fill="ffffff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shd w:val="clear" w:color="ffffff" w:fill="ffffff"/>
        </w:rPr>
        <w:t xml:space="preserve">или государственная собственность на который                      не разграничена, а также на здании или ином недвижимом имуществе, находящихся в государственной собственности </w:t>
      </w:r>
      <w:r>
        <w:rPr>
          <w:rFonts w:ascii="Times New Roman" w:hAnsi="Times New Roman" w:eastAsia="Times New Roman"/>
          <w:sz w:val="28"/>
          <w:szCs w:val="28"/>
          <w:highlight w:val="white"/>
          <w:shd w:val="clear" w:color="ffffff" w:fill="ffffff"/>
          <w:lang w:eastAsia="ru-RU"/>
        </w:rPr>
        <w:t xml:space="preserve">полномочия собственника                   в отношении которого переданы федеральной территории «Сириус»,                          в муниципальной собственности федеральной территории «Сириус</w:t>
      </w:r>
      <w:r>
        <w:rPr>
          <w:rFonts w:ascii="Times New Roman" w:hAnsi="Times New Roman"/>
          <w:color w:val="000000"/>
          <w:sz w:val="28"/>
          <w:szCs w:val="28"/>
          <w:highlight w:val="white"/>
          <w:shd w:val="clear" w:color="ffffff" w:fill="ffffff"/>
        </w:rPr>
        <w:t xml:space="preserve">»</w:t>
      </w:r>
      <w:r>
        <w:rPr>
          <w:rFonts w:ascii="Times New Roman" w:hAnsi="Times New Roman"/>
          <w:sz w:val="28"/>
          <w:szCs w:val="28"/>
          <w:highlight w:val="white"/>
        </w:rPr>
        <w:t xml:space="preserve">;</w:t>
      </w:r>
      <w:r/>
    </w:p>
    <w:p>
      <w:pPr>
        <w:pStyle w:val="720"/>
        <w:ind w:firstLine="708"/>
        <w:jc w:val="both"/>
        <w:spacing w:line="276" w:lineRule="auto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С – срок договора на установку и эксплуатацию рекламной конструкции.</w:t>
      </w:r>
      <w:r/>
    </w:p>
    <w:p>
      <w:pPr>
        <w:pStyle w:val="720"/>
        <w:ind w:firstLine="708"/>
        <w:jc w:val="both"/>
        <w:spacing w:line="276" w:lineRule="auto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Расчет величины размера ежегодной начальной (минимальной) платы                   на земельном участке, </w:t>
      </w:r>
      <w:r>
        <w:rPr>
          <w:rFonts w:ascii="Times New Roman" w:hAnsi="Times New Roman" w:eastAsia="Times New Roman"/>
          <w:sz w:val="28"/>
          <w:szCs w:val="28"/>
          <w:highlight w:val="white"/>
          <w:shd w:val="clear" w:color="ffffff" w:fill="ffffff"/>
          <w:lang w:eastAsia="ru-RU"/>
        </w:rPr>
        <w:t xml:space="preserve">находящемся в государственной собственности, полномочия собственника в отношении которого переданы федеральной территории «Сириус», в муниципальной собственности федеральной территории «Сириус</w:t>
      </w:r>
      <w:r>
        <w:rPr>
          <w:rFonts w:ascii="Times New Roman" w:hAnsi="Times New Roman"/>
          <w:color w:val="000000"/>
          <w:sz w:val="28"/>
          <w:szCs w:val="28"/>
          <w:highlight w:val="white"/>
          <w:shd w:val="clear" w:color="ffffff" w:fill="ffffff"/>
        </w:rPr>
        <w:t xml:space="preserve">»</w:t>
      </w:r>
      <w:r>
        <w:rPr>
          <w:rFonts w:ascii="Times New Roman" w:hAnsi="Times New Roman" w:eastAsia="Times New Roman"/>
          <w:color w:val="eeece1"/>
          <w:sz w:val="28"/>
          <w:szCs w:val="28"/>
          <w:highlight w:val="white"/>
          <w:shd w:val="clear" w:color="ffffff" w:fill="ffffff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shd w:val="clear" w:color="ffffff" w:fill="ffffff"/>
        </w:rPr>
        <w:t xml:space="preserve">или государственная собственность на который                    не разграничена, а также на здании или ином недвижимом имуществе, находящихся в государственной собственности </w:t>
      </w:r>
      <w:r>
        <w:rPr>
          <w:rFonts w:ascii="Times New Roman" w:hAnsi="Times New Roman" w:eastAsia="Times New Roman"/>
          <w:sz w:val="28"/>
          <w:szCs w:val="28"/>
          <w:highlight w:val="white"/>
          <w:shd w:val="clear" w:color="ffffff" w:fill="ffffff"/>
          <w:lang w:eastAsia="ru-RU"/>
        </w:rPr>
        <w:t xml:space="preserve">полномочия собственника                 в отношении которого переданы федеральной территории «Сириус»,                        в муниципальной собственности федеральной территории «Сириус</w:t>
      </w:r>
      <w:r>
        <w:rPr>
          <w:rFonts w:ascii="Times New Roman" w:hAnsi="Times New Roman"/>
          <w:color w:val="000000"/>
          <w:sz w:val="28"/>
          <w:szCs w:val="28"/>
          <w:highlight w:val="white"/>
          <w:shd w:val="clear" w:color="ffffff" w:fill="ffffff"/>
        </w:rPr>
        <w:t xml:space="preserve">»</w:t>
      </w:r>
      <w:r>
        <w:rPr>
          <w:rFonts w:ascii="Times New Roman" w:hAnsi="Times New Roman"/>
          <w:sz w:val="28"/>
          <w:szCs w:val="28"/>
          <w:highlight w:val="white"/>
        </w:rPr>
        <w:t xml:space="preserve">, рассчитывается по формуле:</w:t>
      </w:r>
      <w:r/>
    </w:p>
    <w:p>
      <w:pPr>
        <w:pStyle w:val="72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/>
    </w:p>
    <w:p>
      <w:pPr>
        <w:pStyle w:val="720"/>
        <w:jc w:val="center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А=БС </w:t>
      </w:r>
      <w:bookmarkStart w:id="0" w:name="undefined"/>
      <w:r>
        <w:rPr>
          <w:rFonts w:ascii="Times New Roman" w:hAnsi="Times New Roman"/>
          <w:sz w:val="28"/>
          <w:szCs w:val="28"/>
        </w:rPr>
        <w:t xml:space="preserve">х </w:t>
      </w:r>
      <w:bookmarkEnd w:id="0"/>
      <w:r>
        <w:rPr>
          <w:rFonts w:ascii="Times New Roman" w:hAnsi="Times New Roman"/>
          <w:sz w:val="28"/>
          <w:szCs w:val="28"/>
          <w:lang w:val="en-US"/>
        </w:rPr>
        <w:t xml:space="preserve">S</w:t>
      </w:r>
      <w:r>
        <w:rPr>
          <w:rFonts w:ascii="Times New Roman" w:hAnsi="Times New Roman"/>
          <w:sz w:val="28"/>
          <w:szCs w:val="28"/>
        </w:rPr>
        <w:t xml:space="preserve"> х К, где:</w:t>
      </w:r>
      <w:r/>
    </w:p>
    <w:p>
      <w:pPr>
        <w:pStyle w:val="72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</w:r>
      <w:r/>
    </w:p>
    <w:p>
      <w:pPr>
        <w:pStyle w:val="72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  <w:t xml:space="preserve">БС – базовая ставка, применяемая для расчета платы за установку                     и эксплуатацию рекламных конструкций, без учета НДС, устанавливается                  в размере 5000 рублей за 1 </w:t>
      </w:r>
      <w:r>
        <w:rPr>
          <w:rFonts w:ascii="Times New Roman" w:hAnsi="Times New Roman"/>
          <w:sz w:val="28"/>
          <w:szCs w:val="28"/>
        </w:rPr>
        <w:t xml:space="preserve">кв.м</w:t>
      </w:r>
      <w:r>
        <w:rPr>
          <w:rFonts w:ascii="Times New Roman" w:hAnsi="Times New Roman"/>
          <w:sz w:val="28"/>
          <w:szCs w:val="28"/>
        </w:rPr>
        <w:t xml:space="preserve"> информационного поля рекламной конструкции в год;</w:t>
      </w:r>
      <w:r/>
    </w:p>
    <w:p>
      <w:pPr>
        <w:pStyle w:val="72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en-US"/>
        </w:rPr>
        <w:t xml:space="preserve">S</w:t>
      </w:r>
      <w:r>
        <w:rPr>
          <w:rFonts w:ascii="Times New Roman" w:hAnsi="Times New Roman"/>
          <w:sz w:val="28"/>
          <w:szCs w:val="28"/>
        </w:rPr>
        <w:t xml:space="preserve"> – площадь информационного поля рекламной конструкции (квадратных метров);</w:t>
      </w:r>
      <w:r/>
    </w:p>
    <w:p>
      <w:pPr>
        <w:pStyle w:val="72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  <w:t xml:space="preserve">К = К1 х К2, где К – повышающий коэффициент. </w:t>
      </w:r>
      <w:r/>
    </w:p>
    <w:p>
      <w:pPr>
        <w:pStyle w:val="72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  <w:t xml:space="preserve">К1 – коэффициент, учитывающий территориальное размещение рекламной конструкции:</w:t>
      </w:r>
      <w:r/>
    </w:p>
    <w:p>
      <w:pPr>
        <w:pStyle w:val="72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/>
    </w:p>
    <w:tbl>
      <w:tblPr>
        <w:tblW w:w="98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704"/>
        <w:gridCol w:w="3044"/>
        <w:gridCol w:w="3685"/>
        <w:gridCol w:w="2410"/>
      </w:tblGrid>
      <w:tr>
        <w:trPr/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20"/>
              <w:jc w:val="cent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п/п</w:t>
            </w:r>
            <w:r/>
          </w:p>
        </w:tc>
        <w:tc>
          <w:tcPr>
            <w:tcW w:w="3044" w:type="dxa"/>
            <w:vAlign w:val="center"/>
            <w:textDirection w:val="lrTb"/>
            <w:noWrap w:val="false"/>
          </w:tcPr>
          <w:p>
            <w:pPr>
              <w:pStyle w:val="720"/>
              <w:jc w:val="cent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Зона размещения рекламной конструкции</w:t>
            </w:r>
            <w:r/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720"/>
              <w:jc w:val="cent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Территории, входящие в зону размещения рекламной конструкции</w:t>
            </w:r>
            <w:r/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pStyle w:val="720"/>
              <w:jc w:val="cent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Значение коэффициента К1</w:t>
            </w:r>
            <w:r/>
          </w:p>
        </w:tc>
      </w:tr>
      <w:tr>
        <w:trPr/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20"/>
              <w:jc w:val="center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</w:t>
            </w:r>
            <w:r/>
          </w:p>
        </w:tc>
        <w:tc>
          <w:tcPr>
            <w:tcW w:w="3044" w:type="dxa"/>
            <w:vAlign w:val="center"/>
            <w:textDirection w:val="lrTb"/>
            <w:noWrap w:val="false"/>
          </w:tcPr>
          <w:p>
            <w:pPr>
              <w:pStyle w:val="720"/>
              <w:jc w:val="cent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Зона 1</w:t>
            </w:r>
            <w:r/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720"/>
              <w:jc w:val="cent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Согласно схеме</w:t>
            </w:r>
            <w:r/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pStyle w:val="720"/>
              <w:jc w:val="cent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1,2</w:t>
            </w:r>
            <w:r/>
          </w:p>
        </w:tc>
      </w:tr>
      <w:tr>
        <w:trPr/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20"/>
              <w:jc w:val="center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</w:t>
            </w:r>
            <w:r/>
          </w:p>
        </w:tc>
        <w:tc>
          <w:tcPr>
            <w:tcW w:w="3044" w:type="dxa"/>
            <w:vAlign w:val="center"/>
            <w:textDirection w:val="lrTb"/>
            <w:noWrap w:val="false"/>
          </w:tcPr>
          <w:p>
            <w:pPr>
              <w:pStyle w:val="720"/>
              <w:jc w:val="cent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Зона 2</w:t>
            </w:r>
            <w:r/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720"/>
              <w:jc w:val="cent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Согласно схеме</w:t>
            </w:r>
            <w:r/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pStyle w:val="720"/>
              <w:jc w:val="cent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1,1</w:t>
            </w:r>
            <w:r/>
          </w:p>
        </w:tc>
      </w:tr>
      <w:tr>
        <w:trPr/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20"/>
              <w:jc w:val="center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</w:t>
            </w:r>
            <w:r/>
          </w:p>
        </w:tc>
        <w:tc>
          <w:tcPr>
            <w:tcW w:w="3044" w:type="dxa"/>
            <w:vAlign w:val="center"/>
            <w:textDirection w:val="lrTb"/>
            <w:noWrap w:val="false"/>
          </w:tcPr>
          <w:p>
            <w:pPr>
              <w:pStyle w:val="720"/>
              <w:jc w:val="cent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Зона 3</w:t>
            </w:r>
            <w:r/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720"/>
              <w:jc w:val="cent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Согласно схеме</w:t>
            </w:r>
            <w:r/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pStyle w:val="720"/>
              <w:jc w:val="cent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/>
          </w:p>
        </w:tc>
      </w:tr>
    </w:tbl>
    <w:p>
      <w:pPr>
        <w:pStyle w:val="72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/>
    </w:p>
    <w:p>
      <w:pPr>
        <w:pStyle w:val="720"/>
        <w:ind w:firstLine="708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При размещении рекламной конструкции на пересечении улиц, относящихся к различным зонам, применяется коэффициент К1, имеющий большее значение;</w:t>
      </w:r>
      <w:r/>
    </w:p>
    <w:p>
      <w:pPr>
        <w:pStyle w:val="720"/>
        <w:ind w:firstLine="708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К2 – коэффициент, отражающий зависимость размера оплаты от площади информационного поля одной стороны рекламной конструкции по площади рекламного изображения:</w:t>
      </w:r>
      <w:r/>
    </w:p>
    <w:p>
      <w:pPr>
        <w:pStyle w:val="720"/>
        <w:ind w:firstLine="708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/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6661"/>
        <w:gridCol w:w="2376"/>
      </w:tblGrid>
      <w:tr>
        <w:trPr>
          <w:jc w:val="center"/>
        </w:trPr>
        <w:tc>
          <w:tcPr>
            <w:shd w:val="clear" w:color="auto" w:fill="auto"/>
            <w:tcW w:w="816" w:type="dxa"/>
            <w:vAlign w:val="center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п/п</w:t>
            </w:r>
            <w:r/>
          </w:p>
        </w:tc>
        <w:tc>
          <w:tcPr>
            <w:shd w:val="clear" w:color="auto" w:fill="auto"/>
            <w:tcW w:w="6661" w:type="dxa"/>
            <w:vAlign w:val="center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Тип (вид)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рекламной конструкции</w:t>
            </w:r>
            <w:r/>
          </w:p>
        </w:tc>
        <w:tc>
          <w:tcPr>
            <w:shd w:val="clear" w:color="auto" w:fill="auto"/>
            <w:tcW w:w="2376" w:type="dxa"/>
            <w:vAlign w:val="center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Значение коэффициента К2</w:t>
            </w:r>
            <w:r/>
          </w:p>
        </w:tc>
      </w:tr>
      <w:tr>
        <w:trPr>
          <w:jc w:val="center"/>
        </w:trPr>
        <w:tc>
          <w:tcPr>
            <w:gridSpan w:val="3"/>
            <w:shd w:val="clear" w:color="auto" w:fill="auto"/>
            <w:tcW w:w="9853" w:type="dxa"/>
            <w:vAlign w:val="center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1. 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Размещаемые на земельных участках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816" w:type="dxa"/>
            <w:vAlign w:val="center"/>
            <w:textDirection w:val="lrTb"/>
            <w:noWrap w:val="false"/>
          </w:tcPr>
          <w:p>
            <w:pPr>
              <w:pStyle w:val="720"/>
              <w:jc w:val="cent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1.1.</w:t>
            </w:r>
            <w:r/>
          </w:p>
        </w:tc>
        <w:tc>
          <w:tcPr>
            <w:shd w:val="clear" w:color="auto" w:fill="auto"/>
            <w:tcW w:w="6661" w:type="dxa"/>
            <w:textDirection w:val="lrTb"/>
            <w:noWrap w:val="false"/>
          </w:tcPr>
          <w:p>
            <w:pPr>
              <w:pStyle w:val="893"/>
              <w:jc w:val="both"/>
              <w:spacing w:before="0" w:beforeAutospacing="0" w:after="0" w:afterAutospacing="0" w:line="276" w:lineRule="auto"/>
            </w:pPr>
            <w:r>
              <w:rPr>
                <w:highlight w:val="white"/>
                <w:lang w:eastAsia="en-US"/>
              </w:rPr>
              <w:t xml:space="preserve">1.1.1. Информационный стенд на остановочном пункте движения общественного транспорта</w:t>
            </w:r>
            <w:r>
              <w:rPr>
                <w:lang w:eastAsia="en-US"/>
              </w:rPr>
              <w:t xml:space="preserve">;</w:t>
            </w:r>
            <w:r/>
          </w:p>
          <w:p>
            <w:pPr>
              <w:pStyle w:val="893"/>
              <w:jc w:val="both"/>
              <w:spacing w:before="0" w:beforeAutospacing="0" w:after="0" w:afterAutospacing="0" w:line="276" w:lineRule="auto"/>
              <w:rPr>
                <w:highlight w:val="white"/>
                <w:lang w:eastAsia="en-US"/>
              </w:rPr>
            </w:pPr>
            <w:r>
              <w:rPr>
                <w:highlight w:val="white"/>
                <w:lang w:eastAsia="en-US"/>
              </w:rPr>
              <w:t xml:space="preserve">1.1.2. Сити-формат;</w:t>
            </w:r>
            <w:r/>
          </w:p>
        </w:tc>
        <w:tc>
          <w:tcPr>
            <w:shd w:val="clear" w:color="auto" w:fill="auto"/>
            <w:tcW w:w="2376" w:type="dxa"/>
            <w:vAlign w:val="center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2,3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816" w:type="dxa"/>
            <w:vAlign w:val="center"/>
            <w:textDirection w:val="lrTb"/>
            <w:noWrap w:val="false"/>
          </w:tcPr>
          <w:p>
            <w:pPr>
              <w:pStyle w:val="720"/>
              <w:jc w:val="cent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1.2.</w:t>
            </w:r>
            <w:r/>
          </w:p>
        </w:tc>
        <w:tc>
          <w:tcPr>
            <w:shd w:val="clear" w:color="auto" w:fill="auto"/>
            <w:tcW w:w="6661" w:type="dxa"/>
            <w:textDirection w:val="lrTb"/>
            <w:noWrap w:val="false"/>
          </w:tcPr>
          <w:p>
            <w:pPr>
              <w:pStyle w:val="893"/>
              <w:jc w:val="both"/>
              <w:spacing w:before="0" w:beforeAutospacing="0" w:after="0" w:afterAutospacing="0" w:line="276" w:lineRule="auto"/>
            </w:pPr>
            <w:r>
              <w:rPr>
                <w:highlight w:val="white"/>
                <w:lang w:eastAsia="en-US"/>
              </w:rPr>
              <w:t xml:space="preserve">1.2.1. Сити-</w:t>
            </w:r>
            <w:r>
              <w:rPr>
                <w:highlight w:val="white"/>
                <w:lang w:eastAsia="en-US"/>
              </w:rPr>
              <w:t xml:space="preserve">борд</w:t>
            </w:r>
            <w:r>
              <w:rPr>
                <w:highlight w:val="white"/>
                <w:lang w:eastAsia="en-US"/>
              </w:rPr>
              <w:t xml:space="preserve">;</w:t>
            </w:r>
            <w:r/>
          </w:p>
          <w:p>
            <w:pPr>
              <w:pStyle w:val="893"/>
              <w:jc w:val="both"/>
              <w:spacing w:before="0" w:beforeAutospacing="0" w:after="0" w:afterAutospacing="0" w:line="276" w:lineRule="auto"/>
            </w:pPr>
            <w:r>
              <w:rPr>
                <w:highlight w:val="white"/>
                <w:lang w:eastAsia="en-US"/>
              </w:rPr>
              <w:t xml:space="preserve">1.2.2. Светодиодный экран на опоре;</w:t>
            </w:r>
            <w:r/>
          </w:p>
          <w:p>
            <w:pPr>
              <w:jc w:val="both"/>
              <w:spacing w:line="276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1.2.3. Стела (указатель);</w:t>
            </w:r>
            <w:r/>
          </w:p>
        </w:tc>
        <w:tc>
          <w:tcPr>
            <w:shd w:val="clear" w:color="auto" w:fill="auto"/>
            <w:tcW w:w="2376" w:type="dxa"/>
            <w:vAlign w:val="center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2,0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816" w:type="dxa"/>
            <w:vAlign w:val="center"/>
            <w:textDirection w:val="lrTb"/>
            <w:noWrap w:val="false"/>
          </w:tcPr>
          <w:p>
            <w:pPr>
              <w:pStyle w:val="720"/>
              <w:jc w:val="cent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</w:t>
            </w:r>
            <w:r/>
          </w:p>
        </w:tc>
        <w:tc>
          <w:tcPr>
            <w:shd w:val="clear" w:color="auto" w:fill="auto"/>
            <w:tcW w:w="6661" w:type="dxa"/>
            <w:textDirection w:val="lrTb"/>
            <w:noWrap w:val="false"/>
          </w:tcPr>
          <w:p>
            <w:pPr>
              <w:pStyle w:val="893"/>
              <w:jc w:val="both"/>
              <w:spacing w:before="0" w:beforeAutospacing="0" w:after="0" w:afterAutospacing="0" w:line="276" w:lineRule="auto"/>
            </w:pPr>
            <w:r>
              <w:rPr>
                <w:lang w:eastAsia="en-US"/>
              </w:rPr>
              <w:t xml:space="preserve">1.3.1</w:t>
            </w:r>
            <w:r>
              <w:rPr>
                <w:highlight w:val="white"/>
                <w:lang w:eastAsia="en-US"/>
              </w:rPr>
              <w:t xml:space="preserve">. Билборд (щит 6 х 3 м);</w:t>
            </w:r>
            <w:r/>
          </w:p>
        </w:tc>
        <w:tc>
          <w:tcPr>
            <w:shd w:val="clear" w:color="auto" w:fill="auto"/>
            <w:tcW w:w="2376" w:type="dxa"/>
            <w:vAlign w:val="center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1,7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816" w:type="dxa"/>
            <w:vAlign w:val="center"/>
            <w:textDirection w:val="lrTb"/>
            <w:noWrap w:val="false"/>
          </w:tcPr>
          <w:p>
            <w:pPr>
              <w:pStyle w:val="720"/>
              <w:jc w:val="cent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1.4.</w:t>
            </w:r>
            <w:r/>
          </w:p>
        </w:tc>
        <w:tc>
          <w:tcPr>
            <w:shd w:val="clear" w:color="auto" w:fill="auto"/>
            <w:tcW w:w="6661" w:type="dxa"/>
            <w:textDirection w:val="lrTb"/>
            <w:noWrap w:val="false"/>
          </w:tcPr>
          <w:p>
            <w:pPr>
              <w:pStyle w:val="893"/>
              <w:jc w:val="both"/>
              <w:spacing w:before="0" w:beforeAutospacing="0" w:after="0" w:afterAutospacing="0" w:line="276" w:lineRule="auto"/>
            </w:pPr>
            <w:r>
              <w:rPr>
                <w:highlight w:val="white"/>
                <w:lang w:eastAsia="en-US"/>
              </w:rPr>
              <w:t xml:space="preserve">1.4.1. </w:t>
            </w:r>
            <w:r>
              <w:rPr>
                <w:highlight w:val="white"/>
                <w:lang w:eastAsia="en-US"/>
              </w:rPr>
              <w:t xml:space="preserve">Суперсайт</w:t>
            </w:r>
            <w:r>
              <w:rPr>
                <w:highlight w:val="white"/>
                <w:lang w:eastAsia="en-US"/>
              </w:rPr>
              <w:t xml:space="preserve">;</w:t>
            </w:r>
            <w:r/>
          </w:p>
          <w:p>
            <w:pPr>
              <w:pStyle w:val="893"/>
              <w:spacing w:before="0" w:beforeAutospacing="0" w:after="0" w:afterAutospacing="0" w:line="276" w:lineRule="auto"/>
            </w:pPr>
            <w:r>
              <w:rPr>
                <w:highlight w:val="white"/>
                <w:lang w:eastAsia="en-US"/>
              </w:rPr>
              <w:t xml:space="preserve">1.4.2. Афишный стенд (афиша)</w:t>
            </w:r>
            <w:r>
              <w:rPr>
                <w:highlight w:val="white"/>
              </w:rPr>
              <w:t xml:space="preserve">;</w:t>
            </w:r>
            <w:r/>
          </w:p>
          <w:p>
            <w:pPr>
              <w:jc w:val="left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1.4.3. Флаг;</w:t>
            </w:r>
            <w:r/>
          </w:p>
          <w:p>
            <w:pPr>
              <w:jc w:val="left"/>
              <w:spacing w:line="276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1.4.4. Уникальные (нестандартные) рекламные конструкции, выполненные по индивидуальным проектам, объемно-пространственные конструкции (воздушные шары, аэростаты, объемно-пространственные модули), проекционная установка;</w:t>
            </w:r>
            <w:r/>
          </w:p>
        </w:tc>
        <w:tc>
          <w:tcPr>
            <w:shd w:val="clear" w:color="auto" w:fill="auto"/>
            <w:tcW w:w="2376" w:type="dxa"/>
            <w:vAlign w:val="center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1,2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816" w:type="dxa"/>
            <w:vAlign w:val="center"/>
            <w:textDirection w:val="lrTb"/>
            <w:noWrap w:val="false"/>
          </w:tcPr>
          <w:p>
            <w:pPr>
              <w:pStyle w:val="720"/>
              <w:jc w:val="cent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1.5.</w:t>
            </w:r>
            <w:r/>
          </w:p>
        </w:tc>
        <w:tc>
          <w:tcPr>
            <w:shd w:val="clear" w:color="auto" w:fill="auto"/>
            <w:tcW w:w="6661" w:type="dxa"/>
            <w:textDirection w:val="lrTb"/>
            <w:noWrap w:val="false"/>
          </w:tcPr>
          <w:p>
            <w:pPr>
              <w:pStyle w:val="893"/>
              <w:jc w:val="both"/>
              <w:spacing w:before="0" w:beforeAutospacing="0" w:after="0" w:afterAutospacing="0" w:line="276" w:lineRule="auto"/>
              <w:rPr>
                <w:highlight w:val="white"/>
              </w:rPr>
            </w:pPr>
            <w:r>
              <w:rPr>
                <w:highlight w:val="white"/>
                <w:lang w:eastAsia="en-US"/>
              </w:rPr>
              <w:t xml:space="preserve">1.5.1. Остановочный павильон;</w:t>
            </w:r>
            <w:r/>
          </w:p>
        </w:tc>
        <w:tc>
          <w:tcPr>
            <w:shd w:val="clear" w:color="auto" w:fill="auto"/>
            <w:tcW w:w="2376" w:type="dxa"/>
            <w:vAlign w:val="center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0,8</w:t>
            </w:r>
            <w:r/>
          </w:p>
        </w:tc>
      </w:tr>
      <w:tr>
        <w:trPr>
          <w:jc w:val="center"/>
        </w:trPr>
        <w:tc>
          <w:tcPr>
            <w:gridSpan w:val="3"/>
            <w:shd w:val="clear" w:color="auto" w:fill="auto"/>
            <w:tcW w:w="9853" w:type="dxa"/>
            <w:vAlign w:val="center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2. Размещаемые на зданиях, строениях, сооружениях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816" w:type="dxa"/>
            <w:vAlign w:val="center"/>
            <w:textDirection w:val="lrTb"/>
            <w:noWrap w:val="false"/>
          </w:tcPr>
          <w:p>
            <w:pPr>
              <w:pStyle w:val="720"/>
              <w:jc w:val="cent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2.1.</w:t>
            </w:r>
            <w:r/>
          </w:p>
        </w:tc>
        <w:tc>
          <w:tcPr>
            <w:shd w:val="clear" w:color="auto" w:fill="auto"/>
            <w:tcW w:w="6661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2.1.1. Медиафасад;</w:t>
            </w:r>
            <w:r/>
          </w:p>
          <w:p>
            <w:pPr>
              <w:jc w:val="both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2.1.2. Фасадные рекламные конструкции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</w:t>
            </w:r>
            <w:r/>
          </w:p>
          <w:p>
            <w:pPr>
              <w:jc w:val="both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2.1.3. Проекционная установка;</w:t>
            </w:r>
            <w:r/>
          </w:p>
        </w:tc>
        <w:tc>
          <w:tcPr>
            <w:shd w:val="clear" w:color="auto" w:fill="auto"/>
            <w:tcW w:w="2376" w:type="dxa"/>
            <w:vAlign w:val="center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2,0</w:t>
            </w:r>
            <w:r/>
          </w:p>
        </w:tc>
      </w:tr>
      <w:tr>
        <w:trPr>
          <w:jc w:val="center"/>
          <w:trHeight w:val="307"/>
        </w:trPr>
        <w:tc>
          <w:tcPr>
            <w:shd w:val="clear" w:color="auto" w:fill="auto"/>
            <w:tcW w:w="816" w:type="dxa"/>
            <w:vAlign w:val="center"/>
            <w:textDirection w:val="lrTb"/>
            <w:noWrap w:val="false"/>
          </w:tcPr>
          <w:p>
            <w:pPr>
              <w:pStyle w:val="720"/>
              <w:jc w:val="cent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2.2.</w:t>
            </w:r>
            <w:r/>
          </w:p>
        </w:tc>
        <w:tc>
          <w:tcPr>
            <w:shd w:val="clear" w:color="auto" w:fill="auto"/>
            <w:tcW w:w="6661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2.2.1. Крышные рекламные конструкции (световой короб, панно);</w:t>
            </w:r>
            <w:r/>
          </w:p>
          <w:p>
            <w:pPr>
              <w:jc w:val="both"/>
              <w:spacing w:line="276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2.2.2. Панель-кронштейн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/>
          </w:p>
        </w:tc>
        <w:tc>
          <w:tcPr>
            <w:shd w:val="clear" w:color="auto" w:fill="auto"/>
            <w:tcW w:w="2376" w:type="dxa"/>
            <w:vAlign w:val="center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1,2</w:t>
            </w:r>
            <w:r/>
          </w:p>
        </w:tc>
      </w:tr>
    </w:tbl>
    <w:p>
      <w:r/>
      <w:r/>
    </w:p>
    <w:sectPr>
      <w:headerReference w:type="default" r:id="rId9"/>
      <w:footnotePr/>
      <w:endnotePr/>
      <w:type w:val="nextPage"/>
      <w:pgSz w:w="11906" w:h="16838" w:orient="portrait"/>
      <w:pgMar w:top="1134" w:right="850" w:bottom="851" w:left="1418" w:header="708" w:footer="708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Calibri, &amp;apos;Century Gothic&amp;apos;">
    <w:panose1 w:val="02000603000000000000"/>
  </w:font>
  <w:font w:name="Liberation Serif">
    <w:panose1 w:val="02020603050405020304"/>
  </w:font>
  <w:font w:name="Calibri Light">
    <w:panose1 w:val="020F0502020204030204"/>
  </w:font>
  <w:font w:name="NSimSun">
    <w:panose1 w:val="0200050600000002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 xml:space="preserve">18</w:t>
    </w:r>
    <w:r>
      <w:rPr>
        <w:rFonts w:ascii="Times New Roman" w:hAnsi="Times New Roman"/>
        <w:sz w:val="28"/>
        <w:szCs w:val="28"/>
      </w:rPr>
      <w:fldChar w:fldCharType="end"/>
    </w:r>
    <w:r/>
  </w:p>
  <w:p>
    <w:pPr>
      <w:pStyle w:val="72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8015" w:hanging="360"/>
      </w:pPr>
    </w:lvl>
    <w:lvl w:ilvl="1">
      <w:start w:val="1"/>
      <w:numFmt w:val="decimal"/>
      <w:isLgl w:val="false"/>
      <w:suff w:val="space"/>
      <w:lvlText w:val="%1.%2."/>
      <w:lvlJc w:val="left"/>
      <w:pPr>
        <w:ind w:left="4635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543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6585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73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853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69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485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1640" w:hanging="216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420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492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564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636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708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780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852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924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996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8015" w:hanging="360"/>
      </w:pPr>
    </w:lvl>
    <w:lvl w:ilvl="1">
      <w:start w:val="1"/>
      <w:numFmt w:val="decimal"/>
      <w:isLgl w:val="false"/>
      <w:suff w:val="space"/>
      <w:lvlText w:val="%1.%2."/>
      <w:lvlJc w:val="left"/>
      <w:pPr>
        <w:ind w:left="4635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543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6585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73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853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69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485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1640" w:hanging="216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55" w:hanging="588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875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67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825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62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77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93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7725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8880" w:hanging="216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upperRoman"/>
      <w:isLgl w:val="false"/>
      <w:suff w:val="space"/>
      <w:lvlText w:val="%1."/>
      <w:lvlJc w:val="left"/>
      <w:pPr>
        <w:ind w:left="4406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476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48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20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92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64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36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08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806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480" w:hanging="360"/>
      </w:pPr>
    </w:lvl>
    <w:lvl w:ilvl="1">
      <w:start w:val="1"/>
      <w:numFmt w:val="decimal"/>
      <w:isLgl w:val="false"/>
      <w:suff w:val="space"/>
      <w:lvlText w:val="%1.%2."/>
      <w:lvlJc w:val="left"/>
      <w:pPr>
        <w:ind w:left="4635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543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6585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73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853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69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485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1640" w:hanging="216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num w:numId="1">
    <w:abstractNumId w:val="12"/>
  </w:num>
  <w:num w:numId="2">
    <w:abstractNumId w:val="0"/>
  </w:num>
  <w:num w:numId="3">
    <w:abstractNumId w:val="8"/>
  </w:num>
  <w:num w:numId="4">
    <w:abstractNumId w:val="10"/>
  </w:num>
  <w:num w:numId="5">
    <w:abstractNumId w:val="5"/>
  </w:num>
  <w:num w:numId="6">
    <w:abstractNumId w:val="14"/>
  </w:num>
  <w:num w:numId="7">
    <w:abstractNumId w:val="2"/>
  </w:num>
  <w:num w:numId="8">
    <w:abstractNumId w:val="7"/>
  </w:num>
  <w:num w:numId="9">
    <w:abstractNumId w:val="4"/>
  </w:num>
  <w:num w:numId="10">
    <w:abstractNumId w:val="11"/>
  </w:num>
  <w:num w:numId="11">
    <w:abstractNumId w:val="1"/>
  </w:num>
  <w:num w:numId="12">
    <w:abstractNumId w:val="13"/>
  </w:num>
  <w:num w:numId="13">
    <w:abstractNumId w:val="6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3">
    <w:name w:val="Heading 2 Char"/>
    <w:basedOn w:val="707"/>
    <w:link w:val="699"/>
    <w:uiPriority w:val="9"/>
    <w:rPr>
      <w:rFonts w:ascii="Arial" w:hAnsi="Arial" w:eastAsia="Arial" w:cs="Arial"/>
      <w:sz w:val="34"/>
    </w:rPr>
  </w:style>
  <w:style w:type="character" w:styleId="684">
    <w:name w:val="Heading 3 Char"/>
    <w:basedOn w:val="707"/>
    <w:link w:val="700"/>
    <w:uiPriority w:val="9"/>
    <w:rPr>
      <w:rFonts w:ascii="Arial" w:hAnsi="Arial" w:eastAsia="Arial" w:cs="Arial"/>
      <w:sz w:val="30"/>
      <w:szCs w:val="30"/>
    </w:rPr>
  </w:style>
  <w:style w:type="character" w:styleId="685">
    <w:name w:val="Heading 4 Char"/>
    <w:basedOn w:val="707"/>
    <w:link w:val="701"/>
    <w:uiPriority w:val="9"/>
    <w:rPr>
      <w:rFonts w:ascii="Arial" w:hAnsi="Arial" w:eastAsia="Arial" w:cs="Arial"/>
      <w:b/>
      <w:bCs/>
      <w:sz w:val="26"/>
      <w:szCs w:val="26"/>
    </w:rPr>
  </w:style>
  <w:style w:type="character" w:styleId="686">
    <w:name w:val="Heading 5 Char"/>
    <w:basedOn w:val="707"/>
    <w:link w:val="702"/>
    <w:uiPriority w:val="9"/>
    <w:rPr>
      <w:rFonts w:ascii="Arial" w:hAnsi="Arial" w:eastAsia="Arial" w:cs="Arial"/>
      <w:b/>
      <w:bCs/>
      <w:sz w:val="24"/>
      <w:szCs w:val="24"/>
    </w:rPr>
  </w:style>
  <w:style w:type="character" w:styleId="687">
    <w:name w:val="Heading 6 Char"/>
    <w:basedOn w:val="707"/>
    <w:link w:val="703"/>
    <w:uiPriority w:val="9"/>
    <w:rPr>
      <w:rFonts w:ascii="Arial" w:hAnsi="Arial" w:eastAsia="Arial" w:cs="Arial"/>
      <w:b/>
      <w:bCs/>
      <w:sz w:val="22"/>
      <w:szCs w:val="22"/>
    </w:rPr>
  </w:style>
  <w:style w:type="character" w:styleId="688">
    <w:name w:val="Heading 7 Char"/>
    <w:basedOn w:val="707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8 Char"/>
    <w:basedOn w:val="707"/>
    <w:link w:val="705"/>
    <w:uiPriority w:val="9"/>
    <w:rPr>
      <w:rFonts w:ascii="Arial" w:hAnsi="Arial" w:eastAsia="Arial" w:cs="Arial"/>
      <w:i/>
      <w:iCs/>
      <w:sz w:val="22"/>
      <w:szCs w:val="22"/>
    </w:rPr>
  </w:style>
  <w:style w:type="character" w:styleId="690">
    <w:name w:val="Heading 9 Char"/>
    <w:basedOn w:val="70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character" w:styleId="691">
    <w:name w:val="Title Char"/>
    <w:basedOn w:val="707"/>
    <w:link w:val="721"/>
    <w:uiPriority w:val="10"/>
    <w:rPr>
      <w:sz w:val="48"/>
      <w:szCs w:val="48"/>
    </w:rPr>
  </w:style>
  <w:style w:type="character" w:styleId="692">
    <w:name w:val="Subtitle Char"/>
    <w:basedOn w:val="707"/>
    <w:link w:val="723"/>
    <w:uiPriority w:val="11"/>
    <w:rPr>
      <w:sz w:val="24"/>
      <w:szCs w:val="24"/>
    </w:rPr>
  </w:style>
  <w:style w:type="character" w:styleId="693">
    <w:name w:val="Quote Char"/>
    <w:link w:val="725"/>
    <w:uiPriority w:val="29"/>
    <w:rPr>
      <w:i/>
    </w:rPr>
  </w:style>
  <w:style w:type="character" w:styleId="694">
    <w:name w:val="Intense Quote Char"/>
    <w:link w:val="727"/>
    <w:uiPriority w:val="30"/>
    <w:rPr>
      <w:i/>
    </w:rPr>
  </w:style>
  <w:style w:type="character" w:styleId="695">
    <w:name w:val="Footnote Text Char"/>
    <w:link w:val="862"/>
    <w:uiPriority w:val="99"/>
    <w:rPr>
      <w:sz w:val="18"/>
    </w:rPr>
  </w:style>
  <w:style w:type="character" w:styleId="696">
    <w:name w:val="Endnote Text Char"/>
    <w:link w:val="865"/>
    <w:uiPriority w:val="99"/>
    <w:rPr>
      <w:sz w:val="20"/>
    </w:rPr>
  </w:style>
  <w:style w:type="paragraph" w:styleId="697" w:default="1">
    <w:name w:val="Normal"/>
    <w:qFormat/>
    <w:pPr>
      <w:jc w:val="center"/>
    </w:pPr>
    <w:rPr>
      <w:rFonts w:eastAsia="Times New Roman"/>
      <w:sz w:val="22"/>
      <w:szCs w:val="22"/>
      <w:lang w:eastAsia="en-US"/>
    </w:rPr>
  </w:style>
  <w:style w:type="paragraph" w:styleId="698">
    <w:name w:val="Heading 1"/>
    <w:basedOn w:val="697"/>
    <w:next w:val="697"/>
    <w:link w:val="883"/>
    <w:uiPriority w:val="9"/>
    <w:qFormat/>
    <w:pPr>
      <w:keepNext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paragraph" w:styleId="699">
    <w:name w:val="Heading 2"/>
    <w:basedOn w:val="697"/>
    <w:next w:val="697"/>
    <w:link w:val="71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0">
    <w:name w:val="Heading 3"/>
    <w:basedOn w:val="697"/>
    <w:next w:val="697"/>
    <w:link w:val="7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1">
    <w:name w:val="Heading 4"/>
    <w:basedOn w:val="697"/>
    <w:next w:val="697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2">
    <w:name w:val="Heading 5"/>
    <w:basedOn w:val="697"/>
    <w:next w:val="697"/>
    <w:link w:val="71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3">
    <w:name w:val="Heading 6"/>
    <w:basedOn w:val="697"/>
    <w:next w:val="697"/>
    <w:link w:val="71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04">
    <w:name w:val="Heading 7"/>
    <w:basedOn w:val="697"/>
    <w:next w:val="697"/>
    <w:link w:val="71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05">
    <w:name w:val="Heading 8"/>
    <w:basedOn w:val="697"/>
    <w:next w:val="697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06">
    <w:name w:val="Heading 9"/>
    <w:basedOn w:val="697"/>
    <w:next w:val="697"/>
    <w:link w:val="71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 w:default="1">
    <w:name w:val="Default Paragraph Font"/>
    <w:uiPriority w:val="1"/>
    <w:semiHidden/>
    <w:unhideWhenUsed/>
  </w:style>
  <w:style w:type="table" w:styleId="7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9" w:default="1">
    <w:name w:val="No List"/>
    <w:uiPriority w:val="99"/>
    <w:semiHidden/>
    <w:unhideWhenUsed/>
  </w:style>
  <w:style w:type="character" w:styleId="710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11" w:customStyle="1">
    <w:name w:val="Заголовок 2 Знак"/>
    <w:link w:val="699"/>
    <w:uiPriority w:val="9"/>
    <w:rPr>
      <w:rFonts w:ascii="Arial" w:hAnsi="Arial" w:eastAsia="Arial" w:cs="Arial"/>
      <w:sz w:val="34"/>
    </w:rPr>
  </w:style>
  <w:style w:type="character" w:styleId="712" w:customStyle="1">
    <w:name w:val="Заголовок 3 Знак"/>
    <w:link w:val="700"/>
    <w:uiPriority w:val="9"/>
    <w:rPr>
      <w:rFonts w:ascii="Arial" w:hAnsi="Arial" w:eastAsia="Arial" w:cs="Arial"/>
      <w:sz w:val="30"/>
      <w:szCs w:val="30"/>
    </w:rPr>
  </w:style>
  <w:style w:type="character" w:styleId="713" w:customStyle="1">
    <w:name w:val="Заголовок 4 Знак"/>
    <w:link w:val="701"/>
    <w:uiPriority w:val="9"/>
    <w:rPr>
      <w:rFonts w:ascii="Arial" w:hAnsi="Arial" w:eastAsia="Arial" w:cs="Arial"/>
      <w:b/>
      <w:bCs/>
      <w:sz w:val="26"/>
      <w:szCs w:val="26"/>
    </w:rPr>
  </w:style>
  <w:style w:type="character" w:styleId="714" w:customStyle="1">
    <w:name w:val="Заголовок 5 Знак"/>
    <w:link w:val="702"/>
    <w:uiPriority w:val="9"/>
    <w:rPr>
      <w:rFonts w:ascii="Arial" w:hAnsi="Arial" w:eastAsia="Arial" w:cs="Arial"/>
      <w:b/>
      <w:bCs/>
      <w:sz w:val="24"/>
      <w:szCs w:val="24"/>
    </w:rPr>
  </w:style>
  <w:style w:type="character" w:styleId="715" w:customStyle="1">
    <w:name w:val="Заголовок 6 Знак"/>
    <w:link w:val="703"/>
    <w:uiPriority w:val="9"/>
    <w:rPr>
      <w:rFonts w:ascii="Arial" w:hAnsi="Arial" w:eastAsia="Arial" w:cs="Arial"/>
      <w:b/>
      <w:bCs/>
      <w:sz w:val="22"/>
      <w:szCs w:val="22"/>
    </w:rPr>
  </w:style>
  <w:style w:type="character" w:styleId="716" w:customStyle="1">
    <w:name w:val="Заголовок 7 Знак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7" w:customStyle="1">
    <w:name w:val="Заголовок 8 Знак"/>
    <w:link w:val="705"/>
    <w:uiPriority w:val="9"/>
    <w:rPr>
      <w:rFonts w:ascii="Arial" w:hAnsi="Arial" w:eastAsia="Arial" w:cs="Arial"/>
      <w:i/>
      <w:iCs/>
      <w:sz w:val="22"/>
      <w:szCs w:val="22"/>
    </w:rPr>
  </w:style>
  <w:style w:type="character" w:styleId="718" w:customStyle="1">
    <w:name w:val="Заголовок 9 Знак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19">
    <w:name w:val="List Paragraph"/>
    <w:basedOn w:val="697"/>
    <w:uiPriority w:val="34"/>
    <w:qFormat/>
    <w:pPr>
      <w:contextualSpacing/>
      <w:ind w:left="720"/>
    </w:pPr>
    <w:rPr>
      <w:rFonts w:eastAsia="Calibri"/>
    </w:rPr>
  </w:style>
  <w:style w:type="paragraph" w:styleId="720">
    <w:name w:val="No Spacing"/>
    <w:uiPriority w:val="1"/>
    <w:qFormat/>
    <w:rPr>
      <w:lang w:eastAsia="zh-CN"/>
    </w:rPr>
  </w:style>
  <w:style w:type="paragraph" w:styleId="721">
    <w:name w:val="Title"/>
    <w:basedOn w:val="697"/>
    <w:next w:val="697"/>
    <w:link w:val="72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2" w:customStyle="1">
    <w:name w:val="Заголовок Знак"/>
    <w:link w:val="721"/>
    <w:uiPriority w:val="10"/>
    <w:rPr>
      <w:sz w:val="48"/>
      <w:szCs w:val="48"/>
    </w:rPr>
  </w:style>
  <w:style w:type="paragraph" w:styleId="723">
    <w:name w:val="Subtitle"/>
    <w:basedOn w:val="697"/>
    <w:next w:val="697"/>
    <w:link w:val="724"/>
    <w:uiPriority w:val="11"/>
    <w:qFormat/>
    <w:pPr>
      <w:spacing w:before="200" w:after="200"/>
    </w:pPr>
    <w:rPr>
      <w:sz w:val="24"/>
      <w:szCs w:val="24"/>
    </w:rPr>
  </w:style>
  <w:style w:type="character" w:styleId="724" w:customStyle="1">
    <w:name w:val="Подзаголовок Знак"/>
    <w:link w:val="723"/>
    <w:uiPriority w:val="11"/>
    <w:rPr>
      <w:sz w:val="24"/>
      <w:szCs w:val="24"/>
    </w:rPr>
  </w:style>
  <w:style w:type="paragraph" w:styleId="725">
    <w:name w:val="Quote"/>
    <w:basedOn w:val="697"/>
    <w:next w:val="697"/>
    <w:link w:val="726"/>
    <w:uiPriority w:val="29"/>
    <w:qFormat/>
    <w:pPr>
      <w:ind w:left="720" w:right="720"/>
    </w:pPr>
    <w:rPr>
      <w:i/>
    </w:rPr>
  </w:style>
  <w:style w:type="character" w:styleId="726" w:customStyle="1">
    <w:name w:val="Цитата 2 Знак"/>
    <w:link w:val="725"/>
    <w:uiPriority w:val="29"/>
    <w:rPr>
      <w:i/>
    </w:rPr>
  </w:style>
  <w:style w:type="paragraph" w:styleId="727">
    <w:name w:val="Intense Quote"/>
    <w:basedOn w:val="697"/>
    <w:next w:val="697"/>
    <w:link w:val="72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8" w:customStyle="1">
    <w:name w:val="Выделенная цитата Знак"/>
    <w:link w:val="727"/>
    <w:uiPriority w:val="30"/>
    <w:rPr>
      <w:i/>
    </w:rPr>
  </w:style>
  <w:style w:type="paragraph" w:styleId="729">
    <w:name w:val="Header"/>
    <w:basedOn w:val="697"/>
    <w:link w:val="88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30" w:customStyle="1">
    <w:name w:val="Header Char"/>
    <w:uiPriority w:val="99"/>
  </w:style>
  <w:style w:type="paragraph" w:styleId="731">
    <w:name w:val="Footer"/>
    <w:basedOn w:val="697"/>
    <w:link w:val="88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32" w:customStyle="1">
    <w:name w:val="Footer Char"/>
    <w:uiPriority w:val="99"/>
  </w:style>
  <w:style w:type="paragraph" w:styleId="733">
    <w:name w:val="Caption"/>
    <w:basedOn w:val="697"/>
    <w:next w:val="697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34" w:customStyle="1">
    <w:name w:val="Caption Char"/>
    <w:uiPriority w:val="99"/>
  </w:style>
  <w:style w:type="table" w:styleId="735">
    <w:name w:val="Table Grid"/>
    <w:basedOn w:val="708"/>
    <w:uiPriority w:val="39"/>
    <w:tblPr/>
  </w:style>
  <w:style w:type="table" w:styleId="736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Plain Table 1"/>
    <w:link w:val="893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0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2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77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8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26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61">
    <w:name w:val="Hyperlink"/>
    <w:uiPriority w:val="99"/>
    <w:unhideWhenUsed/>
    <w:rPr>
      <w:color w:val="0563c1"/>
      <w:u w:val="single"/>
    </w:rPr>
  </w:style>
  <w:style w:type="paragraph" w:styleId="862">
    <w:name w:val="footnote text"/>
    <w:basedOn w:val="697"/>
    <w:link w:val="863"/>
    <w:uiPriority w:val="99"/>
    <w:semiHidden/>
    <w:unhideWhenUsed/>
    <w:pPr>
      <w:spacing w:after="40"/>
    </w:pPr>
    <w:rPr>
      <w:sz w:val="18"/>
    </w:rPr>
  </w:style>
  <w:style w:type="character" w:styleId="863" w:customStyle="1">
    <w:name w:val="Текст сноски Знак"/>
    <w:link w:val="862"/>
    <w:uiPriority w:val="99"/>
    <w:rPr>
      <w:sz w:val="18"/>
    </w:rPr>
  </w:style>
  <w:style w:type="character" w:styleId="864">
    <w:name w:val="footnote reference"/>
    <w:uiPriority w:val="99"/>
    <w:unhideWhenUsed/>
    <w:rPr>
      <w:vertAlign w:val="superscript"/>
    </w:rPr>
  </w:style>
  <w:style w:type="paragraph" w:styleId="865">
    <w:name w:val="endnote text"/>
    <w:basedOn w:val="697"/>
    <w:link w:val="866"/>
    <w:uiPriority w:val="99"/>
    <w:semiHidden/>
    <w:unhideWhenUsed/>
    <w:rPr>
      <w:sz w:val="20"/>
    </w:rPr>
  </w:style>
  <w:style w:type="character" w:styleId="866" w:customStyle="1">
    <w:name w:val="Текст концевой сноски Знак"/>
    <w:link w:val="865"/>
    <w:uiPriority w:val="99"/>
    <w:rPr>
      <w:sz w:val="20"/>
    </w:rPr>
  </w:style>
  <w:style w:type="character" w:styleId="867">
    <w:name w:val="endnote reference"/>
    <w:uiPriority w:val="99"/>
    <w:semiHidden/>
    <w:unhideWhenUsed/>
    <w:rPr>
      <w:vertAlign w:val="superscript"/>
    </w:rPr>
  </w:style>
  <w:style w:type="paragraph" w:styleId="868">
    <w:name w:val="toc 1"/>
    <w:basedOn w:val="697"/>
    <w:next w:val="697"/>
    <w:uiPriority w:val="39"/>
    <w:unhideWhenUsed/>
    <w:pPr>
      <w:spacing w:after="57"/>
    </w:pPr>
  </w:style>
  <w:style w:type="paragraph" w:styleId="869">
    <w:name w:val="toc 2"/>
    <w:basedOn w:val="697"/>
    <w:next w:val="697"/>
    <w:uiPriority w:val="39"/>
    <w:unhideWhenUsed/>
    <w:pPr>
      <w:ind w:left="283"/>
      <w:spacing w:after="57"/>
    </w:pPr>
  </w:style>
  <w:style w:type="paragraph" w:styleId="870">
    <w:name w:val="toc 3"/>
    <w:basedOn w:val="697"/>
    <w:next w:val="697"/>
    <w:uiPriority w:val="39"/>
    <w:unhideWhenUsed/>
    <w:pPr>
      <w:ind w:left="567"/>
      <w:spacing w:after="57"/>
    </w:pPr>
  </w:style>
  <w:style w:type="paragraph" w:styleId="871">
    <w:name w:val="toc 4"/>
    <w:basedOn w:val="697"/>
    <w:next w:val="697"/>
    <w:uiPriority w:val="39"/>
    <w:unhideWhenUsed/>
    <w:pPr>
      <w:ind w:left="850"/>
      <w:spacing w:after="57"/>
    </w:pPr>
  </w:style>
  <w:style w:type="paragraph" w:styleId="872">
    <w:name w:val="toc 5"/>
    <w:basedOn w:val="697"/>
    <w:next w:val="697"/>
    <w:uiPriority w:val="39"/>
    <w:unhideWhenUsed/>
    <w:pPr>
      <w:ind w:left="1134"/>
      <w:spacing w:after="57"/>
    </w:pPr>
  </w:style>
  <w:style w:type="paragraph" w:styleId="873">
    <w:name w:val="toc 6"/>
    <w:basedOn w:val="697"/>
    <w:next w:val="697"/>
    <w:uiPriority w:val="39"/>
    <w:unhideWhenUsed/>
    <w:pPr>
      <w:ind w:left="1417"/>
      <w:spacing w:after="57"/>
    </w:pPr>
  </w:style>
  <w:style w:type="paragraph" w:styleId="874">
    <w:name w:val="toc 7"/>
    <w:basedOn w:val="697"/>
    <w:next w:val="697"/>
    <w:uiPriority w:val="39"/>
    <w:unhideWhenUsed/>
    <w:pPr>
      <w:ind w:left="1701"/>
      <w:spacing w:after="57"/>
    </w:pPr>
  </w:style>
  <w:style w:type="paragraph" w:styleId="875">
    <w:name w:val="toc 8"/>
    <w:basedOn w:val="697"/>
    <w:next w:val="697"/>
    <w:uiPriority w:val="39"/>
    <w:unhideWhenUsed/>
    <w:pPr>
      <w:ind w:left="1984"/>
      <w:spacing w:after="57"/>
    </w:pPr>
  </w:style>
  <w:style w:type="paragraph" w:styleId="876">
    <w:name w:val="toc 9"/>
    <w:basedOn w:val="697"/>
    <w:next w:val="697"/>
    <w:uiPriority w:val="39"/>
    <w:unhideWhenUsed/>
    <w:pPr>
      <w:ind w:left="2268"/>
      <w:spacing w:after="57"/>
    </w:pPr>
  </w:style>
  <w:style w:type="paragraph" w:styleId="877">
    <w:name w:val="TOC Heading"/>
    <w:uiPriority w:val="39"/>
    <w:unhideWhenUsed/>
    <w:rPr>
      <w:lang w:eastAsia="zh-CN"/>
    </w:rPr>
  </w:style>
  <w:style w:type="paragraph" w:styleId="878">
    <w:name w:val="table of figures"/>
    <w:basedOn w:val="697"/>
    <w:next w:val="697"/>
    <w:uiPriority w:val="99"/>
    <w:unhideWhenUsed/>
  </w:style>
  <w:style w:type="paragraph" w:styleId="879" w:customStyle="1">
    <w:name w:val="ConsPlusTitle"/>
    <w:uiPriority w:val="99"/>
    <w:pPr>
      <w:widowControl w:val="off"/>
    </w:pPr>
    <w:rPr>
      <w:rFonts w:ascii="Arial" w:hAnsi="Arial" w:eastAsia="Times New Roman" w:cs="Arial"/>
      <w:b/>
      <w:bCs/>
      <w:sz w:val="24"/>
      <w:szCs w:val="24"/>
    </w:rPr>
  </w:style>
  <w:style w:type="paragraph" w:styleId="880" w:customStyle="1">
    <w:name w:val="Standard (user)"/>
    <w:pPr>
      <w:spacing w:after="160" w:line="251" w:lineRule="auto"/>
    </w:pPr>
    <w:rPr>
      <w:rFonts w:ascii="Calibri, 'Century Gothic'" w:hAnsi="Calibri, 'Century Gothic'" w:eastAsia="Calibri, 'Century Gothic'" w:cs="Calibri, 'Century Gothic'"/>
      <w:sz w:val="22"/>
      <w:szCs w:val="22"/>
      <w:lang w:eastAsia="zh-CN"/>
    </w:rPr>
  </w:style>
  <w:style w:type="paragraph" w:styleId="881" w:customStyle="1">
    <w:name w:val="Text body (user)"/>
    <w:basedOn w:val="880"/>
    <w:pPr>
      <w:spacing w:after="140" w:line="276" w:lineRule="auto"/>
    </w:pPr>
  </w:style>
  <w:style w:type="paragraph" w:styleId="882" w:customStyle="1">
    <w:name w:val="Standard"/>
    <w:rPr>
      <w:rFonts w:ascii="Liberation Serif" w:hAnsi="Liberation Serif" w:eastAsia="NSimSun" w:cs="Arial"/>
      <w:sz w:val="24"/>
      <w:szCs w:val="24"/>
      <w:lang w:eastAsia="zh-CN" w:bidi="hi-IN"/>
    </w:rPr>
  </w:style>
  <w:style w:type="character" w:styleId="883" w:customStyle="1">
    <w:name w:val="Заголовок 1 Знак"/>
    <w:link w:val="698"/>
    <w:uiPriority w:val="9"/>
    <w:rPr>
      <w:rFonts w:ascii="Calibri Light" w:hAnsi="Calibri Light" w:eastAsia="Times New Roman" w:cs="Times New Roman"/>
      <w:b/>
      <w:bCs/>
      <w:sz w:val="32"/>
      <w:szCs w:val="32"/>
    </w:rPr>
  </w:style>
  <w:style w:type="paragraph" w:styleId="884" w:customStyle="1">
    <w:name w:val="ConsPlusNormal"/>
    <w:pPr>
      <w:widowControl w:val="off"/>
    </w:pPr>
    <w:rPr>
      <w:rFonts w:ascii="Times New Roman" w:hAnsi="Times New Roman" w:eastAsia="Times New Roman"/>
      <w:sz w:val="24"/>
      <w:szCs w:val="24"/>
    </w:rPr>
  </w:style>
  <w:style w:type="character" w:styleId="885" w:customStyle="1">
    <w:name w:val="Верхний колонтитул Знак"/>
    <w:link w:val="729"/>
    <w:uiPriority w:val="99"/>
    <w:rPr>
      <w:rFonts w:eastAsia="Times New Roman"/>
      <w:sz w:val="22"/>
      <w:szCs w:val="22"/>
      <w:lang w:eastAsia="en-US"/>
    </w:rPr>
  </w:style>
  <w:style w:type="character" w:styleId="886" w:customStyle="1">
    <w:name w:val="Нижний колонтитул Знак"/>
    <w:link w:val="731"/>
    <w:uiPriority w:val="99"/>
    <w:rPr>
      <w:rFonts w:eastAsia="Times New Roman"/>
      <w:sz w:val="22"/>
      <w:szCs w:val="22"/>
      <w:lang w:eastAsia="en-US"/>
    </w:rPr>
  </w:style>
  <w:style w:type="paragraph" w:styleId="887">
    <w:name w:val="Revision"/>
    <w:hidden/>
    <w:uiPriority w:val="99"/>
    <w:semiHidden/>
    <w:rPr>
      <w:rFonts w:eastAsia="Times New Roman"/>
      <w:sz w:val="22"/>
      <w:szCs w:val="22"/>
      <w:lang w:eastAsia="en-US"/>
    </w:rPr>
  </w:style>
  <w:style w:type="paragraph" w:styleId="888">
    <w:name w:val="Balloon Text"/>
    <w:basedOn w:val="697"/>
    <w:link w:val="889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89" w:customStyle="1">
    <w:name w:val="Текст выноски Знак"/>
    <w:link w:val="888"/>
    <w:uiPriority w:val="99"/>
    <w:semiHidden/>
    <w:rPr>
      <w:rFonts w:ascii="Segoe UI" w:hAnsi="Segoe UI" w:eastAsia="Times New Roman" w:cs="Segoe UI"/>
      <w:sz w:val="18"/>
      <w:szCs w:val="18"/>
      <w:lang w:eastAsia="en-US"/>
    </w:rPr>
  </w:style>
  <w:style w:type="character" w:styleId="890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styleId="891" w:customStyle="1">
    <w:name w:val="ConsPlusNorma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/>
      <w:sz w:val="24"/>
      <w:lang w:val="en-US" w:eastAsia="zh-CN"/>
    </w:rPr>
  </w:style>
  <w:style w:type="paragraph" w:styleId="892" w:customStyle="1">
    <w:name w:val="ConsPlusTitle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Arial" w:cs="Arial"/>
      <w:b/>
      <w:sz w:val="24"/>
      <w:lang w:val="en-US" w:eastAsia="zh-CN"/>
    </w:rPr>
  </w:style>
  <w:style w:type="paragraph" w:styleId="893" w:customStyle="1">
    <w:name w:val="formattext"/>
    <w:link w:val="737"/>
    <w:uiPriority w:val="99"/>
    <w:pPr>
      <w:spacing w:before="100" w:beforeAutospacing="1" w:after="100" w:afterAutospacing="1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 Алексей Дмитриевич</dc:creator>
  <cp:revision>362</cp:revision>
  <dcterms:created xsi:type="dcterms:W3CDTF">2023-04-03T11:24:00Z</dcterms:created>
  <dcterms:modified xsi:type="dcterms:W3CDTF">2023-07-06T08:39:00Z</dcterms:modified>
  <cp:version>1048576</cp:version>
</cp:coreProperties>
</file>