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5103"/>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компенсации расходов на оплату жилого помещения и коммунальных услуг в размере 50 процентов для отдельных категорий пожилых граждан, проживающих в федеральной территории «Сириус»</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компенсации расходов на оплату жилого помещения и коммунальных услуг в размере 50 процентов для отдельных категорий пожилых граждан, проживающих в федеральной территории «Сириус» (далее – муниципальная услуга, компенсация расходов),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награжденные медалями Краснодарского края или наградами Краснодарского края за вклад в дело служения кубанскому казачеству, либо Почетными грамотами Законодательного Собрания Краснодарского края или удостоенные почетных званий Краснодарского края и имеющие трудовой стаж не менее 20 лет для женщин и 25 лет для мужчин;</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имеющие трудовой стаж не менее 40 лет для женщин и 45 лет для мужчин.</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компенсации расходов на оплату жилого помещения и коммунальных услуг в размере 50 процентов для отдельных категорий пожилых граждан, проживающих в федеральной территории «Сириус».</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компенсации расходов;</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компенсации расходов.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компенсации расходов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компенсации расходов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компенсации расходов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компенсации расходов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к настоящему Административному регламенту;</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2"/>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отнесение к одной из категорий граждан, указанных в пункте 1.2.1 Административного регламента (копия);</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Arial" w:hAnsi="Arial" w:cs="Arial" w:eastAsia="Arial"/>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Arial" w:hAnsi="Arial" w:cs="Arial" w:eastAsia="Arial"/>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Arial" w:hAnsi="Arial" w:cs="Arial" w:eastAsia="Arial"/>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Arial" w:hAnsi="Arial" w:cs="Arial" w:eastAsia="Arial"/>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Arial" w:hAnsi="Arial" w:cs="Arial" w:eastAsia="Arial"/>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Arial" w:hAnsi="Arial" w:cs="Arial" w:eastAsia="Arial"/>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Arial" w:hAnsi="Arial" w:cs="Arial" w:eastAsia="Arial"/>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 </w:t>
      </w:r>
    </w:p>
    <w:p>
      <w:pPr>
        <w:widowControl w:val="false"/>
        <w:tabs>
          <w:tab w:val="left" w:pos="1134" w:leader="none"/>
          <w:tab w:val="left" w:pos="1276" w:leader="none"/>
          <w:tab w:val="left" w:pos="1418" w:leader="none"/>
          <w:tab w:val="left" w:pos="1560"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Arial" w:hAnsi="Arial" w:cs="Arial" w:eastAsia="Arial"/>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r>
      <w:r>
        <w:rPr>
          <w:rFonts w:ascii="Arial" w:hAnsi="Arial" w:cs="Arial" w:eastAsia="Arial"/>
          <w:color w:val="auto"/>
          <w:spacing w:val="0"/>
          <w:position w:val="0"/>
          <w:sz w:val="28"/>
          <w:shd w:fill="auto" w:val="clear"/>
        </w:rPr>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Arial" w:hAnsi="Arial" w:cs="Arial" w:eastAsia="Arial"/>
          <w:color w:val="auto"/>
          <w:spacing w:val="0"/>
          <w:position w:val="0"/>
          <w:sz w:val="28"/>
          <w:shd w:fill="auto" w:val="clear"/>
        </w:rPr>
        <w:t xml:space="preserve">Основанием для отказа в назначении компенсации расходов является:</w:t>
      </w:r>
    </w:p>
    <w:p>
      <w:pPr>
        <w:widowControl w:val="false"/>
        <w:numPr>
          <w:ilvl w:val="0"/>
          <w:numId w:val="6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непредставление (представление не в полном объеме) документов, указанных в пункте 2.6 Административного регламента;</w:t>
      </w:r>
    </w:p>
    <w:p>
      <w:pPr>
        <w:widowControl w:val="false"/>
        <w:numPr>
          <w:ilvl w:val="0"/>
          <w:numId w:val="6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у гражданина права на компенсацию расходов.</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Arial" w:hAnsi="Arial" w:cs="Arial" w:eastAsia="Arial"/>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Arial" w:hAnsi="Arial" w:cs="Arial" w:eastAsia="Arial"/>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Arial" w:hAnsi="Arial" w:cs="Arial" w:eastAsia="Arial"/>
          <w:color w:val="auto"/>
          <w:spacing w:val="0"/>
          <w:position w:val="0"/>
          <w:sz w:val="28"/>
          <w:shd w:fill="auto" w:val="clear"/>
        </w:rPr>
        <w:t xml:space="preserve"> 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Arial" w:hAnsi="Arial" w:cs="Arial" w:eastAsia="Arial"/>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 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Arial" w:hAnsi="Arial" w:cs="Arial" w:eastAsia="Arial"/>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Arial" w:hAnsi="Arial" w:cs="Arial" w:eastAsia="Arial"/>
          <w:color w:val="auto"/>
          <w:spacing w:val="0"/>
          <w:position w:val="0"/>
          <w:sz w:val="28"/>
          <w:shd w:fill="auto" w:val="clear"/>
        </w:rPr>
        <w:t xml:space="preserve"> 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Arial" w:hAnsi="Arial" w:cs="Arial" w:eastAsia="Arial"/>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Arial" w:hAnsi="Arial" w:cs="Arial" w:eastAsia="Arial"/>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Arial" w:hAnsi="Arial" w:cs="Arial" w:eastAsia="Arial"/>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Arial" w:hAnsi="Arial" w:cs="Arial" w:eastAsia="Arial"/>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Arial" w:hAnsi="Arial" w:cs="Arial" w:eastAsia="Arial"/>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Arial" w:hAnsi="Arial" w:cs="Arial" w:eastAsia="Arial"/>
          <w:color w:val="auto"/>
          <w:spacing w:val="0"/>
          <w:position w:val="0"/>
          <w:sz w:val="28"/>
          <w:shd w:fill="auto" w:val="clear"/>
        </w:rPr>
        <w:t xml:space="preserve">Для инвалидов должны обеспечиваться:</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сурдопереводчика и тифлосурдопереводчика;</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Arial" w:hAnsi="Arial" w:cs="Arial" w:eastAsia="Arial"/>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Arial" w:hAnsi="Arial" w:cs="Arial" w:eastAsia="Arial"/>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телефонную связь;</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копирования документов;</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Arial" w:hAnsi="Arial" w:cs="Arial" w:eastAsia="Arial"/>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Arial" w:hAnsi="Arial" w:cs="Arial" w:eastAsia="Arial"/>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Arial" w:hAnsi="Arial" w:cs="Arial" w:eastAsia="Arial"/>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Arial" w:hAnsi="Arial" w:cs="Arial" w:eastAsia="Arial"/>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Arial" w:hAnsi="Arial" w:cs="Arial" w:eastAsia="Arial"/>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Arial" w:hAnsi="Arial" w:cs="Arial" w:eastAsia="Arial"/>
          <w:color w:val="auto"/>
          <w:spacing w:val="0"/>
          <w:position w:val="0"/>
          <w:sz w:val="28"/>
          <w:shd w:fill="auto" w:val="clear"/>
        </w:rPr>
        <w:t xml:space="preserve"> Показатели доступности и качества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Arial" w:hAnsi="Arial" w:cs="Arial" w:eastAsia="Arial"/>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Arial" w:hAnsi="Arial" w:cs="Arial" w:eastAsia="Arial"/>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на предоставление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Arial" w:hAnsi="Arial" w:cs="Arial" w:eastAsia="Arial"/>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Arial" w:hAnsi="Arial" w:cs="Arial" w:eastAsia="Arial"/>
          <w:color w:val="auto"/>
          <w:spacing w:val="0"/>
          <w:position w:val="0"/>
          <w:sz w:val="28"/>
          <w:shd w:fill="auto" w:val="clear"/>
        </w:rPr>
        <w:t xml:space="preserve"> 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10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Администрацию;</w:t>
      </w:r>
    </w:p>
    <w:p>
      <w:pPr>
        <w:widowControl w:val="false"/>
        <w:numPr>
          <w:ilvl w:val="0"/>
          <w:numId w:val="10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МФЦ;</w:t>
      </w:r>
    </w:p>
    <w:p>
      <w:pPr>
        <w:widowControl w:val="false"/>
        <w:numPr>
          <w:ilvl w:val="0"/>
          <w:numId w:val="10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Arial" w:hAnsi="Arial" w:cs="Arial" w:eastAsia="Arial"/>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Arial" w:hAnsi="Arial" w:cs="Arial" w:eastAsia="Arial"/>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Arial" w:hAnsi="Arial" w:cs="Arial" w:eastAsia="Arial"/>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Arial" w:hAnsi="Arial" w:cs="Arial" w:eastAsia="Arial"/>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организация выплаты компенсации расходов.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Arial" w:hAnsi="Arial" w:cs="Arial" w:eastAsia="Arial"/>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сведений о ходе выполнения запроса;</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осуществление оценки качества предоставления услуги;</w:t>
      </w:r>
    </w:p>
    <w:p>
      <w:pPr>
        <w:widowControl w:val="false"/>
        <w:numPr>
          <w:ilvl w:val="0"/>
          <w:numId w:val="1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Arial" w:hAnsi="Arial" w:cs="Arial" w:eastAsia="Arial"/>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w:t>
        <w:br/>
        <w:t xml:space="preserve">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После выполнения административных процедур, указанных в пункте 3.2.1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3.2.2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компенсации расходов;</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распечатывает распоряжение о назначении компенсации расходов или решение об отказе в ее назначении;</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распоряжение о назначении компенсации расходов или решение об отказе в ее назначении;</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подписывает сформированное распоряжение о назначении  компенсации расходов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уведомление о назначении либо об отказе в назначении компенсации расходов с указанием причин отказа;</w:t>
      </w:r>
    </w:p>
    <w:p>
      <w:pPr>
        <w:widowControl w:val="false"/>
        <w:numPr>
          <w:ilvl w:val="0"/>
          <w:numId w:val="1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компенсации расходов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компенсации расходов.</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в течение 1 рабочего дня принимает решение о назначении компенсации расходов либо об отказе в назначении компенсации расходов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компенсации расходов, проверяют правильность назначения либо отказа в назначении компенсации расходов, ввода информации в базу данных получателей мер социальной поддержки, подписывают распоряжение о назначении либо решение об отказе в назначении компенсации расходов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компенсации расходов.</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компенсации расходов.</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Arial" w:hAnsi="Arial" w:cs="Arial" w:eastAsia="Arial"/>
          <w:color w:val="auto"/>
          <w:spacing w:val="0"/>
          <w:position w:val="0"/>
          <w:sz w:val="28"/>
          <w:shd w:fill="auto" w:val="clear"/>
        </w:rPr>
        <w:t xml:space="preserve">Организация выплаты компенсации расходов.</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компенсации расходов осуществляется Администрацией </w:t>
        <w:br/>
        <w:t xml:space="preserve">не позднее первого квартала текущего года. В случае, если решение о назначении принято по истечении первого квартала текущего года выплата компенсации расходов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компенсации расходов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Arial" w:hAnsi="Arial" w:cs="Arial" w:eastAsia="Arial"/>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Arial" w:hAnsi="Arial" w:cs="Arial" w:eastAsia="Arial"/>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Arial" w:hAnsi="Arial" w:cs="Arial" w:eastAsia="Arial"/>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Arial" w:hAnsi="Arial" w:cs="Arial" w:eastAsia="Arial"/>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Arial" w:hAnsi="Arial" w:cs="Arial" w:eastAsia="Arial"/>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Arial" w:hAnsi="Arial" w:cs="Arial" w:eastAsia="Arial"/>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Arial" w:hAnsi="Arial" w:cs="Arial" w:eastAsia="Arial"/>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Arial" w:hAnsi="Arial" w:cs="Arial" w:eastAsia="Arial"/>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Arial" w:hAnsi="Arial" w:cs="Arial" w:eastAsia="Arial"/>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Arial" w:hAnsi="Arial" w:cs="Arial" w:eastAsia="Arial"/>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Arial" w:hAnsi="Arial" w:cs="Arial" w:eastAsia="Arial"/>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Arial" w:hAnsi="Arial" w:cs="Arial" w:eastAsia="Arial"/>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Arial" w:hAnsi="Arial" w:cs="Arial" w:eastAsia="Arial"/>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Arial" w:hAnsi="Arial" w:cs="Arial" w:eastAsia="Arial"/>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Arial" w:hAnsi="Arial" w:cs="Arial" w:eastAsia="Arial"/>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Arial" w:hAnsi="Arial" w:cs="Arial" w:eastAsia="Arial"/>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Arial" w:hAnsi="Arial" w:cs="Arial" w:eastAsia="Arial"/>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Arial" w:hAnsi="Arial" w:cs="Arial" w:eastAsia="Arial"/>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Arial" w:hAnsi="Arial" w:cs="Arial" w:eastAsia="Arial"/>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регистрации заявления;</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Arial" w:hAnsi="Arial" w:cs="Arial" w:eastAsia="Arial"/>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Arial" w:hAnsi="Arial" w:cs="Arial" w:eastAsia="Arial"/>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Arial" w:hAnsi="Arial" w:cs="Arial" w:eastAsia="Arial"/>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Arial" w:hAnsi="Arial" w:cs="Arial" w:eastAsia="Arial"/>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Arial" w:hAnsi="Arial" w:cs="Arial" w:eastAsia="Arial"/>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Arial" w:hAnsi="Arial" w:cs="Arial" w:eastAsia="Arial"/>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Arial" w:hAnsi="Arial" w:cs="Arial" w:eastAsia="Arial"/>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Arial" w:hAnsi="Arial" w:cs="Arial" w:eastAsia="Arial"/>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Arial" w:hAnsi="Arial" w:cs="Arial" w:eastAsia="Arial"/>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5.5.1. 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Arial" w:hAnsi="Arial" w:cs="Arial" w:eastAsia="Arial"/>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Arial" w:hAnsi="Arial" w:cs="Arial" w:eastAsia="Arial"/>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копии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num w:numId="12">
    <w:abstractNumId w:val="139"/>
  </w:num>
  <w:num w:numId="18">
    <w:abstractNumId w:val="133"/>
  </w:num>
  <w:num w:numId="20">
    <w:abstractNumId w:val="127"/>
  </w:num>
  <w:num w:numId="22">
    <w:abstractNumId w:val="121"/>
  </w:num>
  <w:num w:numId="38">
    <w:abstractNumId w:val="115"/>
  </w:num>
  <w:num w:numId="52">
    <w:abstractNumId w:val="109"/>
  </w:num>
  <w:num w:numId="57">
    <w:abstractNumId w:val="103"/>
  </w:num>
  <w:num w:numId="66">
    <w:abstractNumId w:val="97"/>
  </w:num>
  <w:num w:numId="83">
    <w:abstractNumId w:val="91"/>
  </w:num>
  <w:num w:numId="85">
    <w:abstractNumId w:val="85"/>
  </w:num>
  <w:num w:numId="92">
    <w:abstractNumId w:val="79"/>
  </w:num>
  <w:num w:numId="94">
    <w:abstractNumId w:val="73"/>
  </w:num>
  <w:num w:numId="100">
    <w:abstractNumId w:val="67"/>
  </w:num>
  <w:num w:numId="102">
    <w:abstractNumId w:val="61"/>
  </w:num>
  <w:num w:numId="109">
    <w:abstractNumId w:val="55"/>
  </w:num>
  <w:num w:numId="111">
    <w:abstractNumId w:val="49"/>
  </w:num>
  <w:num w:numId="116">
    <w:abstractNumId w:val="43"/>
  </w:num>
  <w:num w:numId="118">
    <w:abstractNumId w:val="37"/>
  </w:num>
  <w:num w:numId="127">
    <w:abstractNumId w:val="31"/>
  </w:num>
  <w:num w:numId="129">
    <w:abstractNumId w:val="25"/>
  </w:num>
  <w:num w:numId="159">
    <w:abstractNumId w:val="19"/>
  </w:num>
  <w:num w:numId="182">
    <w:abstractNumId w:val="13"/>
  </w:num>
  <w:num w:numId="192">
    <w:abstractNumId w:val="7"/>
  </w:num>
  <w:num w:numId="19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