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ежегодной денежной выплаты лицам, </w:t>
        <w:br/>
        <w:t xml:space="preserve">подвергшимся радиационным воздействиям, и их семьям</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ежегодной денежной выплаты лицам, подвергшимся радиационным воздействиям, и их семьям (далее – муниципальная услуга, ежегодная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 из числа лиц:</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инвалиды вследствие катастрофы на Чернобыльской АЭС;</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инвалиды вследствие воздействия радиации в результате аварии в 1957 году на производственном объединении «Маяк» и сбросов радиоактивных отходов в реку Теча;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граждане из подразделений особого риска, признанные инвалидами вследствие заболеваний, связанных с непосредственным участием в действиях подразделений особого риска;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участники ликвидации последствий катастрофы на Чернобыльской АЭС;</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участники ликвидации последствий аварии в 1957 году на производственном объединении «Маяк» и сбросов радиоактивных отходов в реку Теча;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граждане из подразделений особого риска;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родители, несовершеннолетние дети, а также не вступившие в новый брак вдовы умерших лиц, перечисленных в абзацах 2 – 7 пункта 1.2.1 Административного регламента, либо лиц, умерших в связи с воздействием радиации вследствие катастрофы на Чернобыльской АЭС или аварии в 1957 году на производственном объединении «Маяк» и сбросов радиоактивных отходов в реку Теча, а также в связи с заболеваниями, связанными с непосредственным участием в действиях подразделений особого риска;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граждане,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дети в возрасте до 18 лет первого и второго поколения указанных граждан, страдающие заболеваниями вследствие радиационного воздействия.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ежегодной денежной выплаты лицам, подвергшимся радиационным воздействиям, и их семьям.</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ежегодной денежной выплаты;</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ежегодной денежной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ежегодной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ежегодной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ежегодной денежной выплаты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ежегодной денежной выплаты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к настоящему Административному регламенту;</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2"/>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отнесение к одной из категорий граждан, указанных в пункте 1.2.1 Административного регламента (копия);</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Arial" w:hAnsi="Arial" w:cs="Arial" w:eastAsia="Arial"/>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Arial" w:hAnsi="Arial" w:cs="Arial" w:eastAsia="Arial"/>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Arial" w:hAnsi="Arial" w:cs="Arial" w:eastAsia="Arial"/>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Arial" w:hAnsi="Arial" w:cs="Arial" w:eastAsia="Arial"/>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Arial" w:hAnsi="Arial" w:cs="Arial" w:eastAsia="Arial"/>
          <w:color w:val="auto"/>
          <w:spacing w:val="0"/>
          <w:position w:val="0"/>
          <w:sz w:val="28"/>
          <w:shd w:fill="auto" w:val="clear"/>
        </w:rPr>
        <w:t xml:space="preserve">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1.2 настоящего Административного регламента (далее – сведения о государственной регистрации актов гражданского состояния (сведения о смерти, о заключении брака, о рождении детей)).</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2.6.10.</w:t>
        <w:tab/>
      </w:r>
      <w:r>
        <w:rPr>
          <w:rFonts w:ascii="Arial" w:hAnsi="Arial" w:cs="Arial" w:eastAsia="Arial"/>
          <w:color w:val="auto"/>
          <w:spacing w:val="0"/>
          <w:position w:val="0"/>
          <w:sz w:val="28"/>
          <w:shd w:fill="auto" w:val="clear"/>
        </w:rPr>
        <w:t xml:space="preserve">Сведения о государственной регистрации актов гражданского состояния запрашиваются Администрацией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2.6.11.</w:t>
        <w:tab/>
      </w:r>
      <w:r>
        <w:rPr>
          <w:rFonts w:ascii="Arial" w:hAnsi="Arial" w:cs="Arial" w:eastAsia="Arial"/>
          <w:color w:val="auto"/>
          <w:spacing w:val="0"/>
          <w:position w:val="0"/>
          <w:sz w:val="28"/>
          <w:shd w:fill="auto" w:val="clear"/>
        </w:rPr>
        <w:t xml:space="preserve">Заявитель может по своей инициативе самостоятельно представить в Администрацию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2.6.12.</w:t>
        <w:tab/>
      </w:r>
      <w:r>
        <w:rPr>
          <w:rFonts w:ascii="Arial" w:hAnsi="Arial" w:cs="Arial" w:eastAsia="Arial"/>
          <w:color w:val="auto"/>
          <w:spacing w:val="0"/>
          <w:position w:val="0"/>
          <w:sz w:val="28"/>
          <w:shd w:fill="auto" w:val="clear"/>
        </w:rPr>
        <w:t xml:space="preserve">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2.6.13.</w:t>
        <w:tab/>
      </w:r>
      <w:r>
        <w:rPr>
          <w:rFonts w:ascii="Arial" w:hAnsi="Arial" w:cs="Arial" w:eastAsia="Arial"/>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Arial" w:hAnsi="Arial" w:cs="Arial" w:eastAsia="Arial"/>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Arial" w:hAnsi="Arial" w:cs="Arial" w:eastAsia="Arial"/>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Arial" w:hAnsi="Arial" w:cs="Arial" w:eastAsia="Arial"/>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Calibri" w:hAnsi="Calibri" w:cs="Calibri" w:eastAsia="Calibri"/>
          <w:color w:val="auto"/>
          <w:spacing w:val="0"/>
          <w:position w:val="0"/>
          <w:sz w:val="28"/>
          <w:shd w:fill="auto" w:val="clear"/>
        </w:rPr>
        <w:t xml:space="preserve">Основанием для отказа в предоставлении ежегодной денежной выплаты является:</w:t>
      </w:r>
    </w:p>
    <w:p>
      <w:pPr>
        <w:widowControl w:val="false"/>
        <w:numPr>
          <w:ilvl w:val="0"/>
          <w:numId w:val="6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6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у заявителя права на ежегодную денежную выплату;</w:t>
      </w:r>
    </w:p>
    <w:p>
      <w:pPr>
        <w:widowControl w:val="false"/>
        <w:numPr>
          <w:ilvl w:val="0"/>
          <w:numId w:val="6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заявителем ежегодной денежной выплаты.</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Calibri" w:hAnsi="Calibri" w:cs="Calibri" w:eastAsia="Calibri"/>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Calibri" w:hAnsi="Calibri" w:cs="Calibri" w:eastAsia="Calibri"/>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Calibri" w:hAnsi="Calibri" w:cs="Calibri" w:eastAsia="Calibri"/>
          <w:color w:val="auto"/>
          <w:spacing w:val="0"/>
          <w:position w:val="0"/>
          <w:sz w:val="28"/>
          <w:shd w:fill="auto" w:val="clear"/>
        </w:rPr>
        <w:t xml:space="preserve">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Calibri" w:hAnsi="Calibri" w:cs="Calibri" w:eastAsia="Calibri"/>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Calibri" w:hAnsi="Calibri" w:cs="Calibri" w:eastAsia="Calibri"/>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Calibri" w:hAnsi="Calibri" w:cs="Calibri" w:eastAsia="Calibri"/>
          <w:color w:val="auto"/>
          <w:spacing w:val="0"/>
          <w:position w:val="0"/>
          <w:sz w:val="28"/>
          <w:shd w:fill="auto" w:val="clear"/>
        </w:rPr>
        <w:t xml:space="preserve">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Calibri" w:hAnsi="Calibri" w:cs="Calibri" w:eastAsia="Calibri"/>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Calibri" w:hAnsi="Calibri" w:cs="Calibri" w:eastAsia="Calibri"/>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Calibri" w:hAnsi="Calibri" w:cs="Calibri" w:eastAsia="Calibri"/>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Calibri" w:hAnsi="Calibri" w:cs="Calibri" w:eastAsia="Calibri"/>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Calibri" w:hAnsi="Calibri" w:cs="Calibri" w:eastAsia="Calibri"/>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Calibri" w:hAnsi="Calibri" w:cs="Calibri" w:eastAsia="Calibri"/>
          <w:color w:val="auto"/>
          <w:spacing w:val="0"/>
          <w:position w:val="0"/>
          <w:sz w:val="28"/>
          <w:shd w:fill="auto" w:val="clear"/>
        </w:rPr>
        <w:t xml:space="preserve">Для инвалидов должны обеспечиваться:</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сурдопереводчика и тифлосурдопереводчика;</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Calibri" w:hAnsi="Calibri" w:cs="Calibri" w:eastAsia="Calibri"/>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Calibri" w:hAnsi="Calibri" w:cs="Calibri" w:eastAsia="Calibri"/>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телефонную связь;</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копирования документов;</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Calibri" w:hAnsi="Calibri" w:cs="Calibri" w:eastAsia="Calibri"/>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Calibri" w:hAnsi="Calibri" w:cs="Calibri" w:eastAsia="Calibri"/>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Calibri" w:hAnsi="Calibri" w:cs="Calibri" w:eastAsia="Calibri"/>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Calibri" w:hAnsi="Calibri" w:cs="Calibri" w:eastAsia="Calibri"/>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Calibri" w:hAnsi="Calibri" w:cs="Calibri" w:eastAsia="Calibri"/>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Calibri" w:hAnsi="Calibri" w:cs="Calibri" w:eastAsia="Calibri"/>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Calibri" w:hAnsi="Calibri" w:cs="Calibri" w:eastAsia="Calibri"/>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Calibri" w:hAnsi="Calibri" w:cs="Calibri" w:eastAsia="Calibri"/>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на предоставление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Calibri" w:hAnsi="Calibri" w:cs="Calibri" w:eastAsia="Calibri"/>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Calibri" w:hAnsi="Calibri" w:cs="Calibri" w:eastAsia="Calibri"/>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1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Администрацию;</w:t>
      </w:r>
    </w:p>
    <w:p>
      <w:pPr>
        <w:widowControl w:val="false"/>
        <w:numPr>
          <w:ilvl w:val="0"/>
          <w:numId w:val="1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МФЦ;</w:t>
      </w:r>
    </w:p>
    <w:p>
      <w:pPr>
        <w:widowControl w:val="false"/>
        <w:numPr>
          <w:ilvl w:val="0"/>
          <w:numId w:val="1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Calibri" w:hAnsi="Calibri" w:cs="Calibri" w:eastAsia="Calibri"/>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Calibri" w:hAnsi="Calibri" w:cs="Calibri" w:eastAsia="Calibri"/>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Calibri" w:hAnsi="Calibri" w:cs="Calibri" w:eastAsia="Calibri"/>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организация выплаты ежегодной денежной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Calibri" w:hAnsi="Calibri" w:cs="Calibri" w:eastAsia="Calibri"/>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сведений о ходе выполнения запроса;</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осуществление оценки качества предоставления услуги;</w:t>
      </w:r>
    </w:p>
    <w:p>
      <w:pPr>
        <w:widowControl w:val="false"/>
        <w:numPr>
          <w:ilvl w:val="0"/>
          <w:numId w:val="11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Calibri" w:hAnsi="Calibri" w:cs="Calibri" w:eastAsia="Calibri"/>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ежегодной денежной выплаты;</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распечатывает распоряжение о назначении ежегодной денежной выплаты или решение об отказе в ее назначении;</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распоряжение о назначении ежегодной денежной выплаты или решение об отказе в ее назначении;</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подписывает сформированное распоряжение о назначении ежегодной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уведомление о назначении либо об отказе в назначении ежегодной денежной выплаты с указанием причин отказа;</w:t>
      </w:r>
    </w:p>
    <w:p>
      <w:pPr>
        <w:widowControl w:val="false"/>
        <w:numPr>
          <w:ilvl w:val="0"/>
          <w:numId w:val="11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ежегодной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ежегодной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в течение 1 рабочего дня принимает решение о назначении ежегодной денежной выплаты либо об отказе в назначении ежегодной денежной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ежегодной денежной выплаты, проверяют правильность назначения либо отказа в назначении ежегодной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ежегодной денежной выплаты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ежегодной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ежегодной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3.2.5.</w:t>
        <w:tab/>
      </w:r>
      <w:r>
        <w:rPr>
          <w:rFonts w:ascii="Calibri" w:hAnsi="Calibri" w:cs="Calibri" w:eastAsia="Calibri"/>
          <w:color w:val="auto"/>
          <w:spacing w:val="0"/>
          <w:position w:val="0"/>
          <w:sz w:val="28"/>
          <w:shd w:fill="auto" w:val="clear"/>
        </w:rPr>
        <w:t xml:space="preserve">Организация выплаты ежегодной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ежегодной денежной выплаты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ежегодной денежной выплаты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ежегодной денежной выплаты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Calibri" w:hAnsi="Calibri" w:cs="Calibri" w:eastAsia="Calibri"/>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Calibri" w:hAnsi="Calibri" w:cs="Calibri" w:eastAsia="Calibri"/>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Calibri" w:hAnsi="Calibri" w:cs="Calibri" w:eastAsia="Calibri"/>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Calibri" w:hAnsi="Calibri" w:cs="Calibri" w:eastAsia="Calibri"/>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Calibri" w:hAnsi="Calibri" w:cs="Calibri" w:eastAsia="Calibri"/>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Calibri" w:hAnsi="Calibri" w:cs="Calibri" w:eastAsia="Calibri"/>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Calibri" w:hAnsi="Calibri" w:cs="Calibri" w:eastAsia="Calibri"/>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Calibri" w:hAnsi="Calibri" w:cs="Calibri" w:eastAsia="Calibri"/>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Calibri" w:hAnsi="Calibri" w:cs="Calibri" w:eastAsia="Calibri"/>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Calibri" w:hAnsi="Calibri" w:cs="Calibri" w:eastAsia="Calibri"/>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Calibri" w:hAnsi="Calibri" w:cs="Calibri" w:eastAsia="Calibri"/>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Calibri" w:hAnsi="Calibri" w:cs="Calibri" w:eastAsia="Calibri"/>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Calibri" w:hAnsi="Calibri" w:cs="Calibri" w:eastAsia="Calibri"/>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Calibri" w:hAnsi="Calibri" w:cs="Calibri" w:eastAsia="Calibri"/>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Calibri" w:hAnsi="Calibri" w:cs="Calibri" w:eastAsia="Calibri"/>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Calibri" w:hAnsi="Calibri" w:cs="Calibri" w:eastAsia="Calibri"/>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Calibri" w:hAnsi="Calibri" w:cs="Calibri" w:eastAsia="Calibri"/>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Calibri" w:hAnsi="Calibri" w:cs="Calibri" w:eastAsia="Calibri"/>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регистрации заявления;</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Calibri" w:hAnsi="Calibri" w:cs="Calibri" w:eastAsia="Calibri"/>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Calibri" w:hAnsi="Calibri" w:cs="Calibri" w:eastAsia="Calibri"/>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Calibri" w:hAnsi="Calibri" w:cs="Calibri" w:eastAsia="Calibri"/>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Calibri" w:hAnsi="Calibri" w:cs="Calibri" w:eastAsia="Calibri"/>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Calibri" w:hAnsi="Calibri" w:cs="Calibri" w:eastAsia="Calibri"/>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Calibri" w:hAnsi="Calibri" w:cs="Calibri" w:eastAsia="Calibri"/>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Calibri" w:hAnsi="Calibri" w:cs="Calibri" w:eastAsia="Calibri"/>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Calibri" w:hAnsi="Calibri" w:cs="Calibri" w:eastAsia="Calibri"/>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Calibri" w:hAnsi="Calibri" w:cs="Calibri" w:eastAsia="Calibri"/>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Calibri" w:hAnsi="Calibri" w:cs="Calibri" w:eastAsia="Calibri"/>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Calibri" w:hAnsi="Calibri" w:cs="Calibri" w:eastAsia="Calibri"/>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Calibri" w:hAnsi="Calibri" w:cs="Calibri" w:eastAsia="Calibri"/>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num w:numId="12">
    <w:abstractNumId w:val="139"/>
  </w:num>
  <w:num w:numId="18">
    <w:abstractNumId w:val="133"/>
  </w:num>
  <w:num w:numId="20">
    <w:abstractNumId w:val="127"/>
  </w:num>
  <w:num w:numId="22">
    <w:abstractNumId w:val="121"/>
  </w:num>
  <w:num w:numId="38">
    <w:abstractNumId w:val="115"/>
  </w:num>
  <w:num w:numId="52">
    <w:abstractNumId w:val="109"/>
  </w:num>
  <w:num w:numId="57">
    <w:abstractNumId w:val="103"/>
  </w:num>
  <w:num w:numId="66">
    <w:abstractNumId w:val="97"/>
  </w:num>
  <w:num w:numId="83">
    <w:abstractNumId w:val="91"/>
  </w:num>
  <w:num w:numId="85">
    <w:abstractNumId w:val="85"/>
  </w:num>
  <w:num w:numId="92">
    <w:abstractNumId w:val="79"/>
  </w:num>
  <w:num w:numId="94">
    <w:abstractNumId w:val="73"/>
  </w:num>
  <w:num w:numId="100">
    <w:abstractNumId w:val="67"/>
  </w:num>
  <w:num w:numId="102">
    <w:abstractNumId w:val="61"/>
  </w:num>
  <w:num w:numId="109">
    <w:abstractNumId w:val="55"/>
  </w:num>
  <w:num w:numId="111">
    <w:abstractNumId w:val="49"/>
  </w:num>
  <w:num w:numId="116">
    <w:abstractNumId w:val="43"/>
  </w:num>
  <w:num w:numId="118">
    <w:abstractNumId w:val="37"/>
  </w:num>
  <w:num w:numId="127">
    <w:abstractNumId w:val="31"/>
  </w:num>
  <w:num w:numId="129">
    <w:abstractNumId w:val="25"/>
  </w:num>
  <w:num w:numId="159">
    <w:abstractNumId w:val="19"/>
  </w:num>
  <w:num w:numId="182">
    <w:abstractNumId w:val="13"/>
  </w:num>
  <w:num w:numId="192">
    <w:abstractNumId w:val="7"/>
  </w:num>
  <w:num w:numId="19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